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360" w:lineRule="auto"/>
        <w:jc w:val="center"/>
        <w:rPr>
          <w:color w:val="000000"/>
          <w:sz w:val="20"/>
          <w:szCs w:val="20"/>
        </w:rPr>
        <w:sectPr>
          <w:pgSz w:h="15840" w:w="12240" w:orient="portrait"/>
          <w:pgMar w:bottom="1440" w:top="1440" w:left="2160" w:right="1440" w:header="720" w:footer="720"/>
          <w:pgNumType w:start="0"/>
          <w:cols w:equalWidth="0" w:num="2">
            <w:col w:space="720" w:w="3960"/>
            <w:col w:space="0" w:w="3960"/>
          </w:cols>
          <w:titlePg w:val="1"/>
        </w:sectPr>
      </w:pPr>
      <w:r w:rsidDel="00000000" w:rsidR="00000000" w:rsidRPr="00000000">
        <w:rPr>
          <w:b w:val="1"/>
          <w:sz w:val="48"/>
          <w:szCs w:val="48"/>
          <w:rtl w:val="0"/>
        </w:rPr>
        <w:t xml:space="preserve">Identifying and Treating Depression among Black Teenagers in the United Kingdom</w:t>
      </w:r>
      <w:r w:rsidDel="00000000" w:rsidR="00000000" w:rsidRPr="00000000">
        <w:rPr>
          <w:rtl w:val="0"/>
        </w:rPr>
      </w:r>
    </w:p>
    <w:p w:rsidR="00000000" w:rsidDel="00000000" w:rsidP="00000000" w:rsidRDefault="00000000" w:rsidRPr="00000000" w14:paraId="00000003">
      <w:pPr>
        <w:spacing w:line="360" w:lineRule="auto"/>
        <w:rPr>
          <w:color w:val="000000"/>
          <w:sz w:val="20"/>
          <w:szCs w:val="20"/>
        </w:rPr>
        <w:sectPr>
          <w:type w:val="continuous"/>
          <w:pgSz w:h="15840" w:w="12240" w:orient="portrait"/>
          <w:pgMar w:bottom="1440" w:top="1440" w:left="2160" w:right="1440" w:header="720" w:footer="720"/>
          <w:pgNumType w:start="0"/>
          <w:titlePg w:val="1"/>
        </w:sectPr>
      </w:pPr>
      <w:r w:rsidDel="00000000" w:rsidR="00000000" w:rsidRPr="00000000">
        <w:rPr>
          <w:rtl w:val="0"/>
        </w:rPr>
      </w:r>
    </w:p>
    <w:p w:rsidR="00000000" w:rsidDel="00000000" w:rsidP="00000000" w:rsidRDefault="00000000" w:rsidRPr="00000000" w14:paraId="00000004">
      <w:pPr>
        <w:spacing w:line="360" w:lineRule="auto"/>
        <w:rPr>
          <w:color w:val="000000"/>
          <w:sz w:val="20"/>
          <w:szCs w:val="20"/>
        </w:rPr>
        <w:sectPr>
          <w:type w:val="continuous"/>
          <w:pgSz w:h="15840" w:w="12240" w:orient="portrait"/>
          <w:pgMar w:bottom="1440" w:top="1440" w:left="2160" w:right="1440" w:header="720" w:footer="720"/>
          <w:pgNumType w:start="0"/>
          <w:cols w:equalWidth="0" w:num="2">
            <w:col w:space="720" w:w="3960"/>
            <w:col w:space="0" w:w="3960"/>
          </w:cols>
          <w:titlePg w:val="1"/>
        </w:sectPr>
      </w:pPr>
      <w:r w:rsidDel="00000000" w:rsidR="00000000" w:rsidRPr="00000000">
        <w:rPr>
          <w:rtl w:val="0"/>
        </w:rPr>
      </w:r>
    </w:p>
    <w:p w:rsidR="00000000" w:rsidDel="00000000" w:rsidP="00000000" w:rsidRDefault="00000000" w:rsidRPr="00000000" w14:paraId="00000005">
      <w:pPr>
        <w:spacing w:line="360" w:lineRule="auto"/>
        <w:rPr>
          <w:b w:val="1"/>
          <w:color w:val="365f91"/>
          <w:sz w:val="20"/>
          <w:szCs w:val="20"/>
        </w:rPr>
        <w:sectPr>
          <w:type w:val="continuous"/>
          <w:pgSz w:h="15840" w:w="12240" w:orient="portrait"/>
          <w:pgMar w:bottom="1440" w:top="1440" w:left="2160" w:right="1440" w:header="720" w:footer="720"/>
          <w:pgNumType w:start="0"/>
          <w:titlePg w:val="1"/>
        </w:sectPr>
      </w:pPr>
      <w:r w:rsidDel="00000000" w:rsidR="00000000" w:rsidRPr="00000000">
        <w:rPr>
          <w:rtl w:val="0"/>
        </w:rPr>
      </w:r>
    </w:p>
    <w:p w:rsidR="00000000" w:rsidDel="00000000" w:rsidP="00000000" w:rsidRDefault="00000000" w:rsidRPr="00000000" w14:paraId="00000006">
      <w:pPr>
        <w:spacing w:line="360" w:lineRule="auto"/>
        <w:rPr>
          <w:b w:val="1"/>
          <w:sz w:val="40"/>
          <w:szCs w:val="40"/>
        </w:rPr>
      </w:pPr>
      <w:r w:rsidDel="00000000" w:rsidR="00000000" w:rsidRPr="00000000">
        <w:rPr>
          <w:b w:val="1"/>
          <w:sz w:val="40"/>
          <w:szCs w:val="40"/>
          <w:rtl w:val="0"/>
        </w:rPr>
        <w:t xml:space="preserve">Introduction</w:t>
      </w:r>
    </w:p>
    <w:p w:rsidR="00000000" w:rsidDel="00000000" w:rsidP="00000000" w:rsidRDefault="00000000" w:rsidRPr="00000000" w14:paraId="00000007">
      <w:pPr>
        <w:spacing w:after="240" w:line="360" w:lineRule="auto"/>
        <w:rPr>
          <w:sz w:val="20"/>
          <w:szCs w:val="20"/>
        </w:rPr>
      </w:pPr>
      <w:r w:rsidDel="00000000" w:rsidR="00000000" w:rsidRPr="00000000">
        <w:rPr>
          <w:sz w:val="20"/>
          <w:szCs w:val="20"/>
          <w:rtl w:val="0"/>
        </w:rPr>
        <w:t xml:space="preserve">Public health professionals have for a long time recognized depression as a significant mental health problem with great implications for the emotional wellbeing and physical health of individuals. Among adolescents, depression is associated with various adverse health outcomes such as high blood pressure and obesity, and is recognised as a significant contributor to suicidal ideation (Midgley et al., 2015). In the United Kingdom, research shows that approximately 10% of girls and 13% of boys aged between 11-15 face mental health challenges (Olfson et al., 2015). In fact, about ¾ of all mental health problems begin during adolescence </w:t>
      </w:r>
    </w:p>
    <w:p w:rsidR="00000000" w:rsidDel="00000000" w:rsidP="00000000" w:rsidRDefault="00000000" w:rsidRPr="00000000" w14:paraId="00000008">
      <w:pPr>
        <w:spacing w:after="240" w:line="360" w:lineRule="auto"/>
        <w:rPr>
          <w:sz w:val="20"/>
          <w:szCs w:val="20"/>
        </w:rPr>
      </w:pPr>
      <w:r w:rsidDel="00000000" w:rsidR="00000000" w:rsidRPr="00000000">
        <w:rPr>
          <w:sz w:val="20"/>
          <w:szCs w:val="20"/>
        </w:rPr>
        <mc:AlternateContent>
          <mc:Choice Requires="wpg">
            <w:drawing>
              <wp:inline distB="0" distT="0" distL="0" distR="0">
                <wp:extent cx="2583180" cy="989965"/>
                <wp:effectExtent b="0" l="0" r="0" t="0"/>
                <wp:docPr id="23543" name=""/>
                <a:graphic>
                  <a:graphicData uri="http://schemas.microsoft.com/office/word/2010/wordprocessingGroup">
                    <wpg:wgp>
                      <wpg:cNvGrpSpPr/>
                      <wpg:grpSpPr>
                        <a:xfrm>
                          <a:off x="4054400" y="3285000"/>
                          <a:ext cx="2583180" cy="989965"/>
                          <a:chOff x="4054400" y="3285000"/>
                          <a:chExt cx="2583200" cy="990000"/>
                        </a:xfrm>
                      </wpg:grpSpPr>
                      <wpg:grpSp>
                        <wpg:cNvGrpSpPr/>
                        <wpg:grpSpPr>
                          <a:xfrm>
                            <a:off x="4054410" y="3285018"/>
                            <a:ext cx="2583180" cy="989965"/>
                            <a:chOff x="0" y="0"/>
                            <a:chExt cx="2583002" cy="990003"/>
                          </a:xfrm>
                        </wpg:grpSpPr>
                        <wps:wsp>
                          <wps:cNvSpPr/>
                          <wps:cNvPr id="3" name="Shape 3"/>
                          <wps:spPr>
                            <a:xfrm>
                              <a:off x="0" y="0"/>
                              <a:ext cx="2583000" cy="99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2583002" cy="990003"/>
                            </a:xfrm>
                            <a:custGeom>
                              <a:rect b="b" l="l" r="r" t="t"/>
                              <a:pathLst>
                                <a:path extrusionOk="0" h="990003" w="2583002">
                                  <a:moveTo>
                                    <a:pt x="0" y="0"/>
                                  </a:moveTo>
                                  <a:lnTo>
                                    <a:pt x="2583002" y="0"/>
                                  </a:lnTo>
                                  <a:lnTo>
                                    <a:pt x="2583002" y="990003"/>
                                  </a:lnTo>
                                  <a:lnTo>
                                    <a:pt x="0" y="990003"/>
                                  </a:lnTo>
                                  <a:lnTo>
                                    <a:pt x="0" y="0"/>
                                  </a:lnTo>
                                </a:path>
                              </a:pathLst>
                            </a:custGeom>
                            <a:solidFill>
                              <a:srgbClr val="DCEBCF"/>
                            </a:solidFill>
                            <a:ln>
                              <a:noFill/>
                            </a:ln>
                          </wps:spPr>
                          <wps:bodyPr anchorCtr="0" anchor="ctr" bIns="91425" lIns="91425" spcFirstLastPara="1" rIns="91425" wrap="square" tIns="91425">
                            <a:noAutofit/>
                          </wps:bodyPr>
                        </wps:wsp>
                        <wps:wsp>
                          <wps:cNvSpPr/>
                          <wps:cNvPr id="5" name="Shape 5"/>
                          <wps:spPr>
                            <a:xfrm>
                              <a:off x="1178066" y="237827"/>
                              <a:ext cx="393932" cy="17204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51ae30"/>
                                    <w:sz w:val="20"/>
                                    <w:vertAlign w:val="baseline"/>
                                  </w:rPr>
                                  <w:t xml:space="preserve">¾ OF </w:t>
                                </w:r>
                              </w:p>
                            </w:txbxContent>
                          </wps:txbx>
                          <wps:bodyPr anchorCtr="0" anchor="t" bIns="0" lIns="0" spcFirstLastPara="1" rIns="0" wrap="square" tIns="0">
                            <a:noAutofit/>
                          </wps:bodyPr>
                        </wps:wsp>
                        <wps:wsp>
                          <wps:cNvSpPr/>
                          <wps:cNvPr id="6" name="Shape 6"/>
                          <wps:spPr>
                            <a:xfrm>
                              <a:off x="1476795" y="237827"/>
                              <a:ext cx="653969" cy="17204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70b9"/>
                                    <w:sz w:val="20"/>
                                    <w:vertAlign w:val="baseline"/>
                                  </w:rPr>
                                  <w:t xml:space="preserve">MENTAL </w:t>
                                </w:r>
                              </w:p>
                            </w:txbxContent>
                          </wps:txbx>
                          <wps:bodyPr anchorCtr="0" anchor="t" bIns="0" lIns="0" spcFirstLastPara="1" rIns="0" wrap="square" tIns="0">
                            <a:noAutofit/>
                          </wps:bodyPr>
                        </wps:wsp>
                        <wps:wsp>
                          <wps:cNvSpPr/>
                          <wps:cNvPr id="7" name="Shape 7"/>
                          <wps:spPr>
                            <a:xfrm>
                              <a:off x="1180606" y="377527"/>
                              <a:ext cx="617214" cy="17204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70b9"/>
                                    <w:sz w:val="20"/>
                                    <w:vertAlign w:val="baseline"/>
                                  </w:rPr>
                                  <w:t xml:space="preserve">HEALTH </w:t>
                                </w:r>
                              </w:p>
                            </w:txbxContent>
                          </wps:txbx>
                          <wps:bodyPr anchorCtr="0" anchor="t" bIns="0" lIns="0" spcFirstLastPara="1" rIns="0" wrap="square" tIns="0">
                            <a:noAutofit/>
                          </wps:bodyPr>
                        </wps:wsp>
                        <wps:wsp>
                          <wps:cNvSpPr/>
                          <wps:cNvPr id="8" name="Shape 8"/>
                          <wps:spPr>
                            <a:xfrm>
                              <a:off x="1647204" y="377527"/>
                              <a:ext cx="845682" cy="17204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51ae30"/>
                                    <w:sz w:val="20"/>
                                    <w:vertAlign w:val="baseline"/>
                                  </w:rPr>
                                  <w:t xml:space="preserve">PROBLEMS </w:t>
                                </w:r>
                              </w:p>
                            </w:txbxContent>
                          </wps:txbx>
                          <wps:bodyPr anchorCtr="0" anchor="t" bIns="0" lIns="0" spcFirstLastPara="1" rIns="0" wrap="square" tIns="0">
                            <a:noAutofit/>
                          </wps:bodyPr>
                        </wps:wsp>
                        <wps:wsp>
                          <wps:cNvSpPr/>
                          <wps:cNvPr id="9" name="Shape 9"/>
                          <wps:spPr>
                            <a:xfrm>
                              <a:off x="1180606" y="517227"/>
                              <a:ext cx="495515" cy="17204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51ae30"/>
                                    <w:sz w:val="20"/>
                                    <w:vertAlign w:val="baseline"/>
                                  </w:rPr>
                                  <w:t xml:space="preserve">START </w:t>
                                </w:r>
                              </w:p>
                            </w:txbxContent>
                          </wps:txbx>
                          <wps:bodyPr anchorCtr="0" anchor="t" bIns="0" lIns="0" spcFirstLastPara="1" rIns="0" wrap="square" tIns="0">
                            <a:noAutofit/>
                          </wps:bodyPr>
                        </wps:wsp>
                        <wps:wsp>
                          <wps:cNvSpPr/>
                          <wps:cNvPr id="10" name="Shape 10"/>
                          <wps:spPr>
                            <a:xfrm>
                              <a:off x="1555637" y="517227"/>
                              <a:ext cx="942197" cy="17204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70b9"/>
                                    <w:sz w:val="20"/>
                                    <w:vertAlign w:val="baseline"/>
                                  </w:rPr>
                                  <w:t xml:space="preserve">BEFORE THE </w:t>
                                </w:r>
                              </w:p>
                            </w:txbxContent>
                          </wps:txbx>
                          <wps:bodyPr anchorCtr="0" anchor="t" bIns="0" lIns="0" spcFirstLastPara="1" rIns="0" wrap="square" tIns="0">
                            <a:noAutofit/>
                          </wps:bodyPr>
                        </wps:wsp>
                        <wps:wsp>
                          <wps:cNvSpPr/>
                          <wps:cNvPr id="11" name="Shape 11"/>
                          <wps:spPr>
                            <a:xfrm>
                              <a:off x="1180606" y="656927"/>
                              <a:ext cx="763642" cy="17204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70b9"/>
                                    <w:sz w:val="20"/>
                                    <w:vertAlign w:val="baseline"/>
                                  </w:rPr>
                                  <w:t xml:space="preserve">EARLY 20’s</w:t>
                                </w:r>
                              </w:p>
                            </w:txbxContent>
                          </wps:txbx>
                          <wps:bodyPr anchorCtr="0" anchor="t" bIns="0" lIns="0" spcFirstLastPara="1" rIns="0" wrap="square" tIns="0">
                            <a:noAutofit/>
                          </wps:bodyPr>
                        </wps:wsp>
                        <wps:wsp>
                          <wps:cNvSpPr/>
                          <wps:cNvPr id="12" name="Shape 12"/>
                          <wps:spPr>
                            <a:xfrm>
                              <a:off x="162009" y="135007"/>
                              <a:ext cx="359994" cy="359994"/>
                            </a:xfrm>
                            <a:custGeom>
                              <a:rect b="b" l="l" r="r" t="t"/>
                              <a:pathLst>
                                <a:path extrusionOk="0" h="359994" w="359994">
                                  <a:moveTo>
                                    <a:pt x="359994" y="0"/>
                                  </a:moveTo>
                                  <a:lnTo>
                                    <a:pt x="359994" y="359994"/>
                                  </a:lnTo>
                                  <a:lnTo>
                                    <a:pt x="0" y="359994"/>
                                  </a:lnTo>
                                  <a:cubicBezTo>
                                    <a:pt x="0" y="161176"/>
                                    <a:pt x="161176" y="0"/>
                                    <a:pt x="359994" y="0"/>
                                  </a:cubicBezTo>
                                  <a:close/>
                                </a:path>
                              </a:pathLst>
                            </a:custGeom>
                            <a:solidFill>
                              <a:srgbClr val="0070B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62009" y="135007"/>
                              <a:ext cx="719989" cy="719989"/>
                            </a:xfrm>
                            <a:custGeom>
                              <a:rect b="b" l="l" r="r" t="t"/>
                              <a:pathLst>
                                <a:path extrusionOk="0" h="719989" w="719989">
                                  <a:moveTo>
                                    <a:pt x="359994" y="0"/>
                                  </a:moveTo>
                                  <a:cubicBezTo>
                                    <a:pt x="558813" y="0"/>
                                    <a:pt x="719989" y="161176"/>
                                    <a:pt x="719989" y="359994"/>
                                  </a:cubicBezTo>
                                  <a:cubicBezTo>
                                    <a:pt x="719989" y="558813"/>
                                    <a:pt x="558813" y="719989"/>
                                    <a:pt x="359994" y="719989"/>
                                  </a:cubicBezTo>
                                  <a:cubicBezTo>
                                    <a:pt x="161176" y="719989"/>
                                    <a:pt x="0" y="558813"/>
                                    <a:pt x="0" y="359994"/>
                                  </a:cubicBezTo>
                                  <a:lnTo>
                                    <a:pt x="359994" y="359994"/>
                                  </a:lnTo>
                                  <a:lnTo>
                                    <a:pt x="359994" y="0"/>
                                  </a:lnTo>
                                  <a:close/>
                                </a:path>
                              </a:pathLst>
                            </a:custGeom>
                            <a:solidFill>
                              <a:srgbClr val="51AE3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306294" y="279273"/>
                              <a:ext cx="431419" cy="431432"/>
                            </a:xfrm>
                            <a:custGeom>
                              <a:rect b="b" l="l" r="r" t="t"/>
                              <a:pathLst>
                                <a:path extrusionOk="0" h="431432" w="431419">
                                  <a:moveTo>
                                    <a:pt x="215710" y="0"/>
                                  </a:moveTo>
                                  <a:cubicBezTo>
                                    <a:pt x="334848" y="0"/>
                                    <a:pt x="431419" y="96571"/>
                                    <a:pt x="431419" y="215710"/>
                                  </a:cubicBezTo>
                                  <a:cubicBezTo>
                                    <a:pt x="431419" y="334848"/>
                                    <a:pt x="334848" y="431432"/>
                                    <a:pt x="215710" y="431432"/>
                                  </a:cubicBezTo>
                                  <a:cubicBezTo>
                                    <a:pt x="96571" y="431432"/>
                                    <a:pt x="0" y="334848"/>
                                    <a:pt x="0" y="215710"/>
                                  </a:cubicBezTo>
                                  <a:cubicBezTo>
                                    <a:pt x="0" y="96571"/>
                                    <a:pt x="96571" y="0"/>
                                    <a:pt x="215710" y="0"/>
                                  </a:cubicBezTo>
                                  <a:close/>
                                </a:path>
                              </a:pathLst>
                            </a:custGeom>
                            <a:solidFill>
                              <a:srgbClr val="DCEBC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375326" y="396039"/>
                              <a:ext cx="145584" cy="29247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51ae30"/>
                                    <w:sz w:val="34"/>
                                    <w:vertAlign w:val="baseline"/>
                                  </w:rPr>
                                  <w:t xml:space="preserve">3</w:t>
                                </w:r>
                              </w:p>
                            </w:txbxContent>
                          </wps:txbx>
                          <wps:bodyPr anchorCtr="0" anchor="t" bIns="0" lIns="0" spcFirstLastPara="1" rIns="0" wrap="square" tIns="0">
                            <a:noAutofit/>
                          </wps:bodyPr>
                        </wps:wsp>
                        <wps:wsp>
                          <wps:cNvSpPr/>
                          <wps:cNvPr id="16" name="Shape 16"/>
                          <wps:spPr>
                            <a:xfrm>
                              <a:off x="478375" y="396039"/>
                              <a:ext cx="123473" cy="29247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51ae30"/>
                                    <w:sz w:val="34"/>
                                    <w:vertAlign w:val="baseline"/>
                                  </w:rPr>
                                  <w:t xml:space="preserve">/</w:t>
                                </w:r>
                              </w:p>
                            </w:txbxContent>
                          </wps:txbx>
                          <wps:bodyPr anchorCtr="0" anchor="t" bIns="0" lIns="0" spcFirstLastPara="1" rIns="0" wrap="square" tIns="0">
                            <a:noAutofit/>
                          </wps:bodyPr>
                        </wps:wsp>
                        <wps:wsp>
                          <wps:cNvSpPr/>
                          <wps:cNvPr id="17" name="Shape 17"/>
                          <wps:spPr>
                            <a:xfrm>
                              <a:off x="559337" y="396039"/>
                              <a:ext cx="145584" cy="29247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51ae30"/>
                                    <w:sz w:val="34"/>
                                    <w:vertAlign w:val="baseline"/>
                                  </w:rPr>
                                  <w:t xml:space="preserve">4</w:t>
                                </w:r>
                              </w:p>
                            </w:txbxContent>
                          </wps:txbx>
                          <wps:bodyPr anchorCtr="0" anchor="t" bIns="0" lIns="0" spcFirstLastPara="1" rIns="0" wrap="square" tIns="0">
                            <a:noAutofit/>
                          </wps:bodyPr>
                        </wps:wsp>
                      </wpg:grpSp>
                    </wpg:wgp>
                  </a:graphicData>
                </a:graphic>
              </wp:inline>
            </w:drawing>
          </mc:Choice>
          <mc:Fallback>
            <w:drawing>
              <wp:inline distB="0" distT="0" distL="0" distR="0">
                <wp:extent cx="2583180" cy="989965"/>
                <wp:effectExtent b="0" l="0" r="0" t="0"/>
                <wp:docPr id="2354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583180" cy="9899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spacing w:after="240" w:line="360" w:lineRule="auto"/>
        <w:rPr>
          <w:sz w:val="20"/>
          <w:szCs w:val="20"/>
        </w:rPr>
      </w:pPr>
      <w:r w:rsidDel="00000000" w:rsidR="00000000" w:rsidRPr="00000000">
        <w:rPr>
          <w:sz w:val="20"/>
          <w:szCs w:val="20"/>
          <w:rtl w:val="0"/>
        </w:rPr>
        <w:t xml:space="preserve">Despite the data on the prevalence of mental health problems in adolescence, and depression in particular, much of the focus on depression has been on Caucasian youth, with little attention being given to adolescents of African descent. However, there is evidence to show that the burden of mental health illness, and depression in particular, disproportionately affects Black minority adolescents compared to their White counterparts (LaVeist et al., 2014). </w:t>
      </w:r>
    </w:p>
    <w:p w:rsidR="00000000" w:rsidDel="00000000" w:rsidP="00000000" w:rsidRDefault="00000000" w:rsidRPr="00000000" w14:paraId="0000000A">
      <w:pPr>
        <w:spacing w:after="240" w:line="360" w:lineRule="auto"/>
        <w:rPr>
          <w:sz w:val="20"/>
          <w:szCs w:val="20"/>
        </w:rPr>
      </w:pPr>
      <w:r w:rsidDel="00000000" w:rsidR="00000000" w:rsidRPr="00000000">
        <w:rPr>
          <w:sz w:val="20"/>
          <w:szCs w:val="20"/>
          <w:rtl w:val="0"/>
        </w:rPr>
        <w:t xml:space="preserve">There is little information on the prevalence of depression among Black minority adolescents in the UK, and how these adolescents experience depression. If healthcare practitioners are to come up with better diagnosis and treatment approaches for depression across the diverse adolescent population, then we must first get a clear picture of how Black minority adolescents identify and experience depression. </w:t>
      </w:r>
    </w:p>
    <w:p w:rsidR="00000000" w:rsidDel="00000000" w:rsidP="00000000" w:rsidRDefault="00000000" w:rsidRPr="00000000" w14:paraId="0000000B">
      <w:pPr>
        <w:spacing w:line="360" w:lineRule="auto"/>
        <w:rPr>
          <w:sz w:val="20"/>
          <w:szCs w:val="20"/>
        </w:rPr>
      </w:pPr>
      <w:r w:rsidDel="00000000" w:rsidR="00000000" w:rsidRPr="00000000">
        <w:rPr>
          <w:b w:val="1"/>
          <w:sz w:val="40"/>
          <w:szCs w:val="40"/>
          <w:rtl w:val="0"/>
        </w:rPr>
        <w:t xml:space="preserve">Racial Disparities Adolescent Expression and Treatment of Depression</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0C">
      <w:pPr>
        <w:spacing w:after="240" w:line="360" w:lineRule="auto"/>
        <w:rPr>
          <w:sz w:val="20"/>
          <w:szCs w:val="20"/>
        </w:rPr>
      </w:pPr>
      <w:r w:rsidDel="00000000" w:rsidR="00000000" w:rsidRPr="00000000">
        <w:rPr>
          <w:sz w:val="20"/>
          <w:szCs w:val="20"/>
          <w:rtl w:val="0"/>
        </w:rPr>
        <w:t xml:space="preserve">Even within similar geographic environments, black youths differ from their Caucasian counterparts in the way they experience depression (LaVeist et al., 2014). There also appears to be a connection between socio-economic status and race, which significantly affects the differential outcomes in the experience and diagnosis of depression among adolescents. </w:t>
      </w:r>
    </w:p>
    <w:p w:rsidR="00000000" w:rsidDel="00000000" w:rsidP="00000000" w:rsidRDefault="00000000" w:rsidRPr="00000000" w14:paraId="0000000D">
      <w:pPr>
        <w:spacing w:after="240" w:line="360" w:lineRule="auto"/>
        <w:rPr>
          <w:sz w:val="20"/>
          <w:szCs w:val="20"/>
        </w:rPr>
      </w:pPr>
      <w:bookmarkStart w:colFirst="0" w:colLast="0" w:name="_heading=h.gjdgxs" w:id="0"/>
      <w:bookmarkEnd w:id="0"/>
      <w:r w:rsidDel="00000000" w:rsidR="00000000" w:rsidRPr="00000000">
        <w:rPr>
          <w:sz w:val="20"/>
          <w:szCs w:val="20"/>
          <w:rtl w:val="0"/>
        </w:rPr>
        <w:t xml:space="preserve">Recently, studies have started to consider whether the minority ethnic populations are less likely to obtain treatment for health complications compared to the Caucasian majority, despite the evidence of being overrepresented in admissions (Hoare et al., 2014). A study conducted by The Sainsbury Centre for Mental Health (2002) found particular barriers that hindered African and Caribbean communities from accessing mental health services. </w:t>
      </w:r>
    </w:p>
    <w:p w:rsidR="00000000" w:rsidDel="00000000" w:rsidP="00000000" w:rsidRDefault="00000000" w:rsidRPr="00000000" w14:paraId="0000000E">
      <w:pPr>
        <w:spacing w:after="240" w:line="360" w:lineRule="auto"/>
        <w:rPr>
          <w:sz w:val="20"/>
          <w:szCs w:val="20"/>
        </w:rPr>
      </w:pPr>
      <w:r w:rsidDel="00000000" w:rsidR="00000000" w:rsidRPr="00000000">
        <w:rPr>
          <w:sz w:val="20"/>
          <w:szCs w:val="20"/>
          <w:rtl w:val="0"/>
        </w:rPr>
        <w:t xml:space="preserve">Depression diagnosis, treatment, research has traditionally been approached through the use of a medical model conceptualization that focuses mostly on the biological and genetic influences that underlie the expression and development of the illness. However, such an approach is likely to miss out on the nuances linked to the differentials in the expression of depression among people of diverse backgrounds (Her Majesty’s Government/Department of Health, 2011). It is thus possible that current clinical and research measures may be less relevant to ethnic minority adolescents. </w:t>
      </w:r>
    </w:p>
    <w:p w:rsidR="00000000" w:rsidDel="00000000" w:rsidP="00000000" w:rsidRDefault="00000000" w:rsidRPr="00000000" w14:paraId="0000000F">
      <w:pPr>
        <w:spacing w:after="240" w:line="360" w:lineRule="auto"/>
        <w:rPr>
          <w:sz w:val="20"/>
          <w:szCs w:val="20"/>
        </w:rPr>
      </w:pPr>
      <w:r w:rsidDel="00000000" w:rsidR="00000000" w:rsidRPr="00000000">
        <w:rPr>
          <w:sz w:val="20"/>
          <w:szCs w:val="20"/>
          <w:rtl w:val="0"/>
        </w:rPr>
        <w:t xml:space="preserve">It is thus prudent to develop new and more accurate measures and treatments of depression for Black adolescents in the UK. Clinicians will be better placed to support early diagnosis and treatment of depression by having an improved understanding of the various symptom presentations of depression among Black adolescents. </w:t>
      </w:r>
    </w:p>
    <w:p w:rsidR="00000000" w:rsidDel="00000000" w:rsidP="00000000" w:rsidRDefault="00000000" w:rsidRPr="00000000" w14:paraId="00000010">
      <w:pPr>
        <w:spacing w:after="240" w:line="360" w:lineRule="auto"/>
        <w:rPr>
          <w:sz w:val="20"/>
          <w:szCs w:val="20"/>
        </w:rPr>
        <w:sectPr>
          <w:type w:val="continuous"/>
          <w:pgSz w:h="15840" w:w="12240" w:orient="portrait"/>
          <w:pgMar w:bottom="1440" w:top="1440" w:left="2160" w:right="1440" w:header="720" w:footer="720"/>
          <w:pgNumType w:start="0"/>
          <w:cols w:equalWidth="0" w:num="2">
            <w:col w:space="720" w:w="3960"/>
            <w:col w:space="0" w:w="3960"/>
          </w:cols>
        </w:sectPr>
      </w:pPr>
      <w:r w:rsidDel="00000000" w:rsidR="00000000" w:rsidRPr="00000000">
        <w:rPr>
          <w:sz w:val="20"/>
          <w:szCs w:val="20"/>
          <w:rtl w:val="0"/>
        </w:rPr>
        <w:t xml:space="preserve">More research is also needed on how adolescents from minority groups experience depression, including the effect of socio-economic factors and stigma (Midgley et al., 2015). Such research will offer insight that will inform effective treatment and identification models. </w:t>
      </w:r>
    </w:p>
    <w:p w:rsidR="00000000" w:rsidDel="00000000" w:rsidP="00000000" w:rsidRDefault="00000000" w:rsidRPr="00000000" w14:paraId="00000011">
      <w:pPr>
        <w:spacing w:after="240" w:line="360" w:lineRule="auto"/>
        <w:rPr>
          <w:sz w:val="20"/>
          <w:szCs w:val="20"/>
        </w:rPr>
      </w:pPr>
      <w:r w:rsidDel="00000000" w:rsidR="00000000" w:rsidRPr="00000000">
        <w:rPr>
          <w:rtl w:val="0"/>
        </w:rPr>
      </w:r>
    </w:p>
    <w:p w:rsidR="00000000" w:rsidDel="00000000" w:rsidP="00000000" w:rsidRDefault="00000000" w:rsidRPr="00000000" w14:paraId="00000012">
      <w:pPr>
        <w:spacing w:after="240" w:line="360" w:lineRule="auto"/>
        <w:rPr>
          <w:sz w:val="20"/>
          <w:szCs w:val="20"/>
        </w:rPr>
        <w:sectPr>
          <w:type w:val="continuous"/>
          <w:pgSz w:h="15840" w:w="12240" w:orient="portrait"/>
          <w:pgMar w:bottom="1440" w:top="1440" w:left="2160" w:right="1440" w:header="720" w:footer="720"/>
          <w:pgNumType w:start="0"/>
          <w:cols w:equalWidth="0" w:num="2">
            <w:col w:space="720" w:w="3960"/>
            <w:col w:space="0" w:w="3960"/>
          </w:cols>
        </w:sectPr>
      </w:pPr>
      <w:r w:rsidDel="00000000" w:rsidR="00000000" w:rsidRPr="00000000">
        <w:rPr>
          <w:rtl w:val="0"/>
        </w:rPr>
      </w:r>
    </w:p>
    <w:p w:rsidR="00000000" w:rsidDel="00000000" w:rsidP="00000000" w:rsidRDefault="00000000" w:rsidRPr="00000000" w14:paraId="00000013">
      <w:pPr>
        <w:spacing w:after="240" w:line="360" w:lineRule="auto"/>
        <w:rPr>
          <w:sz w:val="20"/>
          <w:szCs w:val="20"/>
        </w:rPr>
      </w:pPr>
      <w:r w:rsidDel="00000000" w:rsidR="00000000" w:rsidRPr="00000000">
        <w:rPr>
          <w:sz w:val="20"/>
          <w:szCs w:val="20"/>
          <w:rtl w:val="0"/>
        </w:rPr>
        <w:t xml:space="preserve">One possible strategy for addressing the racial disparities in the diagnosis and treatment of adolescent depression is the ‘Locked Hexagon’ Model proposed by Sewell (2012). The model offers a six-point treatment strategy that considers environmental and social factors in addressing mental health issues.  Some elements that should be considered are outlined in figure 1. </w:t>
      </w:r>
    </w:p>
    <w:p w:rsidR="00000000" w:rsidDel="00000000" w:rsidP="00000000" w:rsidRDefault="00000000" w:rsidRPr="00000000" w14:paraId="00000014">
      <w:pPr>
        <w:spacing w:line="360" w:lineRule="auto"/>
        <w:rPr>
          <w:b w:val="1"/>
          <w:sz w:val="40"/>
          <w:szCs w:val="40"/>
        </w:rPr>
      </w:pPr>
      <w:r w:rsidDel="00000000" w:rsidR="00000000" w:rsidRPr="00000000">
        <w:rPr>
          <w:b w:val="1"/>
          <w:sz w:val="40"/>
          <w:szCs w:val="40"/>
          <w:rtl w:val="0"/>
        </w:rPr>
        <w:t xml:space="preserve">Conclusion </w:t>
      </w:r>
    </w:p>
    <w:p w:rsidR="00000000" w:rsidDel="00000000" w:rsidP="00000000" w:rsidRDefault="00000000" w:rsidRPr="00000000" w14:paraId="00000015">
      <w:pPr>
        <w:spacing w:after="240" w:line="360" w:lineRule="auto"/>
        <w:rPr>
          <w:sz w:val="20"/>
          <w:szCs w:val="20"/>
        </w:rPr>
      </w:pPr>
      <w:r w:rsidDel="00000000" w:rsidR="00000000" w:rsidRPr="00000000">
        <w:rPr>
          <w:sz w:val="20"/>
          <w:szCs w:val="20"/>
          <w:rtl w:val="0"/>
        </w:rPr>
        <w:t xml:space="preserve">Depression among adolescent Black youths is largely under-identified and under treated. Most available studies and treatments do not recognise socially-relevant parameters and how they relate to mental health. Future studies and treatment modalities must thus seek to offer evidence-based guidelines on the racial differentials and how they affect treatment. </w:t>
      </w:r>
    </w:p>
    <w:p w:rsidR="00000000" w:rsidDel="00000000" w:rsidP="00000000" w:rsidRDefault="00000000" w:rsidRPr="00000000" w14:paraId="00000016">
      <w:pPr>
        <w:spacing w:line="360" w:lineRule="auto"/>
        <w:rPr>
          <w:b w:val="1"/>
          <w:sz w:val="40"/>
          <w:szCs w:val="40"/>
        </w:rPr>
      </w:pPr>
      <w:r w:rsidDel="00000000" w:rsidR="00000000" w:rsidRPr="00000000">
        <w:rPr>
          <w:b w:val="1"/>
          <w:sz w:val="40"/>
          <w:szCs w:val="40"/>
          <w:rtl w:val="0"/>
        </w:rPr>
        <w:t xml:space="preserve">References</w:t>
      </w:r>
    </w:p>
    <w:p w:rsidR="00000000" w:rsidDel="00000000" w:rsidP="00000000" w:rsidRDefault="00000000" w:rsidRPr="00000000" w14:paraId="00000017">
      <w:pPr>
        <w:spacing w:after="240" w:line="360" w:lineRule="auto"/>
        <w:ind w:firstLine="425.19685039370046"/>
        <w:rPr>
          <w:sz w:val="20"/>
          <w:szCs w:val="20"/>
        </w:rPr>
      </w:pPr>
      <w:r w:rsidDel="00000000" w:rsidR="00000000" w:rsidRPr="00000000">
        <w:rPr>
          <w:sz w:val="20"/>
          <w:szCs w:val="20"/>
          <w:rtl w:val="0"/>
        </w:rPr>
        <w:t xml:space="preserve">Hoare, E., Skouteris, H., Fuller</w:t>
      </w:r>
      <w:r w:rsidDel="00000000" w:rsidR="00000000" w:rsidRPr="00000000">
        <w:rPr>
          <w:rFonts w:ascii="Cambria Math" w:cs="Cambria Math" w:eastAsia="Cambria Math" w:hAnsi="Cambria Math"/>
          <w:sz w:val="20"/>
          <w:szCs w:val="20"/>
          <w:rtl w:val="0"/>
        </w:rPr>
        <w:t xml:space="preserve">‐</w:t>
      </w:r>
      <w:r w:rsidDel="00000000" w:rsidR="00000000" w:rsidRPr="00000000">
        <w:rPr>
          <w:sz w:val="20"/>
          <w:szCs w:val="20"/>
          <w:rtl w:val="0"/>
        </w:rPr>
        <w:t xml:space="preserve">Tyszkiewicz, M., Millar, L. and Allender, S., 2014. Associations between obesogenic risk factors and depression among adolescents: a systematic review. </w:t>
      </w:r>
      <w:r w:rsidDel="00000000" w:rsidR="00000000" w:rsidRPr="00000000">
        <w:rPr>
          <w:i w:val="1"/>
          <w:sz w:val="20"/>
          <w:szCs w:val="20"/>
          <w:rtl w:val="0"/>
        </w:rPr>
        <w:t xml:space="preserve">Obesity reviews</w:t>
      </w:r>
      <w:r w:rsidDel="00000000" w:rsidR="00000000" w:rsidRPr="00000000">
        <w:rPr>
          <w:sz w:val="20"/>
          <w:szCs w:val="20"/>
          <w:rtl w:val="0"/>
        </w:rPr>
        <w:t xml:space="preserve">, </w:t>
      </w:r>
      <w:r w:rsidDel="00000000" w:rsidR="00000000" w:rsidRPr="00000000">
        <w:rPr>
          <w:i w:val="1"/>
          <w:sz w:val="20"/>
          <w:szCs w:val="20"/>
          <w:rtl w:val="0"/>
        </w:rPr>
        <w:t xml:space="preserve">15</w:t>
      </w:r>
      <w:r w:rsidDel="00000000" w:rsidR="00000000" w:rsidRPr="00000000">
        <w:rPr>
          <w:sz w:val="20"/>
          <w:szCs w:val="20"/>
          <w:rtl w:val="0"/>
        </w:rPr>
        <w:t xml:space="preserve">(1), pp.40-51.</w:t>
      </w:r>
    </w:p>
    <w:p w:rsidR="00000000" w:rsidDel="00000000" w:rsidP="00000000" w:rsidRDefault="00000000" w:rsidRPr="00000000" w14:paraId="00000018">
      <w:pPr>
        <w:spacing w:after="240" w:line="360" w:lineRule="auto"/>
        <w:ind w:firstLine="425.19685039370046"/>
        <w:rPr>
          <w:sz w:val="20"/>
          <w:szCs w:val="20"/>
        </w:rPr>
      </w:pPr>
      <w:r w:rsidDel="00000000" w:rsidR="00000000" w:rsidRPr="00000000">
        <w:rPr>
          <w:sz w:val="20"/>
          <w:szCs w:val="20"/>
          <w:rtl w:val="0"/>
        </w:rPr>
        <w:t xml:space="preserve">Midgley, N., Parkinson, S., Holmes, J., Stapley, E., Eatough, V. and Target, M., 2015. Beyond a diagnosis: the experience of depression among clinically-referred adolescents. </w:t>
      </w:r>
      <w:r w:rsidDel="00000000" w:rsidR="00000000" w:rsidRPr="00000000">
        <w:rPr>
          <w:i w:val="1"/>
          <w:sz w:val="20"/>
          <w:szCs w:val="20"/>
          <w:rtl w:val="0"/>
        </w:rPr>
        <w:t xml:space="preserve">Journal of adolescence</w:t>
      </w:r>
      <w:r w:rsidDel="00000000" w:rsidR="00000000" w:rsidRPr="00000000">
        <w:rPr>
          <w:sz w:val="20"/>
          <w:szCs w:val="20"/>
          <w:rtl w:val="0"/>
        </w:rPr>
        <w:t xml:space="preserve">, </w:t>
      </w:r>
      <w:r w:rsidDel="00000000" w:rsidR="00000000" w:rsidRPr="00000000">
        <w:rPr>
          <w:i w:val="1"/>
          <w:sz w:val="20"/>
          <w:szCs w:val="20"/>
          <w:rtl w:val="0"/>
        </w:rPr>
        <w:t xml:space="preserve">44</w:t>
      </w:r>
      <w:r w:rsidDel="00000000" w:rsidR="00000000" w:rsidRPr="00000000">
        <w:rPr>
          <w:sz w:val="20"/>
          <w:szCs w:val="20"/>
          <w:rtl w:val="0"/>
        </w:rPr>
        <w:t xml:space="preserve">, pp.269-279.</w:t>
      </w:r>
    </w:p>
    <w:p w:rsidR="00000000" w:rsidDel="00000000" w:rsidP="00000000" w:rsidRDefault="00000000" w:rsidRPr="00000000" w14:paraId="00000019">
      <w:pPr>
        <w:spacing w:after="240" w:line="360" w:lineRule="auto"/>
        <w:ind w:firstLine="425.19685039370046"/>
        <w:rPr>
          <w:sz w:val="20"/>
          <w:szCs w:val="20"/>
        </w:rPr>
      </w:pPr>
      <w:r w:rsidDel="00000000" w:rsidR="00000000" w:rsidRPr="00000000">
        <w:rPr>
          <w:sz w:val="20"/>
          <w:szCs w:val="20"/>
          <w:rtl w:val="0"/>
        </w:rPr>
        <w:t xml:space="preserve">Olfson, M., Druss, B.G. and Marcus, S.C., 2015. Trends in mental health care among children and adolescents. </w:t>
      </w:r>
      <w:r w:rsidDel="00000000" w:rsidR="00000000" w:rsidRPr="00000000">
        <w:rPr>
          <w:i w:val="1"/>
          <w:sz w:val="20"/>
          <w:szCs w:val="20"/>
          <w:rtl w:val="0"/>
        </w:rPr>
        <w:t xml:space="preserve">New England Journal of Medicine</w:t>
      </w:r>
      <w:r w:rsidDel="00000000" w:rsidR="00000000" w:rsidRPr="00000000">
        <w:rPr>
          <w:sz w:val="20"/>
          <w:szCs w:val="20"/>
          <w:rtl w:val="0"/>
        </w:rPr>
        <w:t xml:space="preserve">, </w:t>
      </w:r>
      <w:r w:rsidDel="00000000" w:rsidR="00000000" w:rsidRPr="00000000">
        <w:rPr>
          <w:i w:val="1"/>
          <w:sz w:val="20"/>
          <w:szCs w:val="20"/>
          <w:rtl w:val="0"/>
        </w:rPr>
        <w:t xml:space="preserve">372</w:t>
      </w:r>
      <w:r w:rsidDel="00000000" w:rsidR="00000000" w:rsidRPr="00000000">
        <w:rPr>
          <w:sz w:val="20"/>
          <w:szCs w:val="20"/>
          <w:rtl w:val="0"/>
        </w:rPr>
        <w:t xml:space="preserve">(21), pp.2029-2038.</w:t>
      </w:r>
    </w:p>
    <w:p w:rsidR="00000000" w:rsidDel="00000000" w:rsidP="00000000" w:rsidRDefault="00000000" w:rsidRPr="00000000" w14:paraId="0000001A">
      <w:pPr>
        <w:spacing w:after="240" w:line="360" w:lineRule="auto"/>
        <w:ind w:firstLine="425.19685039370046"/>
        <w:rPr>
          <w:sz w:val="20"/>
          <w:szCs w:val="20"/>
        </w:rPr>
      </w:pPr>
      <w:r w:rsidDel="00000000" w:rsidR="00000000" w:rsidRPr="00000000">
        <w:rPr>
          <w:sz w:val="20"/>
          <w:szCs w:val="20"/>
          <w:rtl w:val="0"/>
        </w:rPr>
        <w:t xml:space="preserve">Khatib, Y., Bhui, K. and Stansfeld, S.A., 2013. Does social support protect against depression &amp; psychological distress? Findings from the RELACHS study of East London adolescents. </w:t>
      </w:r>
      <w:r w:rsidDel="00000000" w:rsidR="00000000" w:rsidRPr="00000000">
        <w:rPr>
          <w:i w:val="1"/>
          <w:sz w:val="20"/>
          <w:szCs w:val="20"/>
          <w:rtl w:val="0"/>
        </w:rPr>
        <w:t xml:space="preserve">Journal of adolescence</w:t>
      </w:r>
      <w:r w:rsidDel="00000000" w:rsidR="00000000" w:rsidRPr="00000000">
        <w:rPr>
          <w:sz w:val="20"/>
          <w:szCs w:val="20"/>
          <w:rtl w:val="0"/>
        </w:rPr>
        <w:t xml:space="preserve">, </w:t>
      </w:r>
      <w:r w:rsidDel="00000000" w:rsidR="00000000" w:rsidRPr="00000000">
        <w:rPr>
          <w:i w:val="1"/>
          <w:sz w:val="20"/>
          <w:szCs w:val="20"/>
          <w:rtl w:val="0"/>
        </w:rPr>
        <w:t xml:space="preserve">36</w:t>
      </w:r>
      <w:r w:rsidDel="00000000" w:rsidR="00000000" w:rsidRPr="00000000">
        <w:rPr>
          <w:sz w:val="20"/>
          <w:szCs w:val="20"/>
          <w:rtl w:val="0"/>
        </w:rPr>
        <w:t xml:space="preserve">(2), pp.393-402.</w:t>
      </w:r>
    </w:p>
    <w:p w:rsidR="00000000" w:rsidDel="00000000" w:rsidP="00000000" w:rsidRDefault="00000000" w:rsidRPr="00000000" w14:paraId="0000001B">
      <w:pPr>
        <w:spacing w:after="240" w:line="360" w:lineRule="auto"/>
        <w:ind w:firstLine="425.19685039370086"/>
        <w:rPr>
          <w:sz w:val="20"/>
          <w:szCs w:val="20"/>
        </w:rPr>
      </w:pPr>
      <w:r w:rsidDel="00000000" w:rsidR="00000000" w:rsidRPr="00000000">
        <w:rPr>
          <w:sz w:val="20"/>
          <w:szCs w:val="20"/>
          <w:rtl w:val="0"/>
        </w:rPr>
        <w:t xml:space="preserve">LaVeist, T.A., Thorpe, R.J., Pierre, G., Mance, G.A. and Williams, D.R., 2014. The relationships among vigilant coping style, race, and depression. </w:t>
      </w:r>
      <w:r w:rsidDel="00000000" w:rsidR="00000000" w:rsidRPr="00000000">
        <w:rPr>
          <w:i w:val="1"/>
          <w:sz w:val="20"/>
          <w:szCs w:val="20"/>
          <w:rtl w:val="0"/>
        </w:rPr>
        <w:t xml:space="preserve">Journal of Social Issues</w:t>
      </w:r>
      <w:r w:rsidDel="00000000" w:rsidR="00000000" w:rsidRPr="00000000">
        <w:rPr>
          <w:sz w:val="20"/>
          <w:szCs w:val="20"/>
          <w:rtl w:val="0"/>
        </w:rPr>
        <w:t xml:space="preserve">, </w:t>
      </w:r>
      <w:r w:rsidDel="00000000" w:rsidR="00000000" w:rsidRPr="00000000">
        <w:rPr>
          <w:i w:val="1"/>
          <w:sz w:val="20"/>
          <w:szCs w:val="20"/>
          <w:rtl w:val="0"/>
        </w:rPr>
        <w:t xml:space="preserve">70</w:t>
      </w:r>
      <w:r w:rsidDel="00000000" w:rsidR="00000000" w:rsidRPr="00000000">
        <w:rPr>
          <w:sz w:val="20"/>
          <w:szCs w:val="20"/>
          <w:rtl w:val="0"/>
        </w:rPr>
        <w:t xml:space="preserve">(2), pp.241-255.</w:t>
      </w:r>
    </w:p>
    <w:p w:rsidR="00000000" w:rsidDel="00000000" w:rsidP="00000000" w:rsidRDefault="00000000" w:rsidRPr="00000000" w14:paraId="0000001C">
      <w:pPr>
        <w:spacing w:after="240" w:line="360" w:lineRule="auto"/>
        <w:ind w:firstLine="425.19685039370086"/>
        <w:rPr>
          <w:sz w:val="20"/>
          <w:szCs w:val="20"/>
        </w:rPr>
      </w:pPr>
      <w:r w:rsidDel="00000000" w:rsidR="00000000" w:rsidRPr="00000000">
        <w:rPr>
          <w:sz w:val="20"/>
          <w:szCs w:val="20"/>
          <w:rtl w:val="0"/>
        </w:rPr>
        <w:t xml:space="preserve">The Sainsbury Centre for Mental Health. (2002). Breaking the Circles of Fear: A Review of the Relationship Between Mental Health Services and African and Caribbean Communities.</w:t>
      </w:r>
    </w:p>
    <w:p w:rsidR="00000000" w:rsidDel="00000000" w:rsidP="00000000" w:rsidRDefault="00000000" w:rsidRPr="00000000" w14:paraId="0000001D">
      <w:pPr>
        <w:spacing w:after="240" w:line="360" w:lineRule="auto"/>
        <w:ind w:firstLine="425.19685039370086"/>
        <w:rPr>
          <w:sz w:val="20"/>
          <w:szCs w:val="20"/>
        </w:rPr>
      </w:pPr>
      <w:r w:rsidDel="00000000" w:rsidR="00000000" w:rsidRPr="00000000">
        <w:rPr>
          <w:sz w:val="20"/>
          <w:szCs w:val="20"/>
          <w:rtl w:val="0"/>
        </w:rPr>
        <w:t xml:space="preserve">Her Majesty’s Government/Department of Health. (2011). </w:t>
      </w:r>
      <w:r w:rsidDel="00000000" w:rsidR="00000000" w:rsidRPr="00000000">
        <w:rPr>
          <w:i w:val="1"/>
          <w:sz w:val="20"/>
          <w:szCs w:val="20"/>
          <w:rtl w:val="0"/>
        </w:rPr>
        <w:t xml:space="preserve">No Health Without Mental Health: A CrossGovernment Mental Health Outcomes Strategy for People of All Ages</w:t>
      </w:r>
      <w:r w:rsidDel="00000000" w:rsidR="00000000" w:rsidRPr="00000000">
        <w:rPr>
          <w:rtl w:val="0"/>
        </w:rPr>
      </w:r>
    </w:p>
    <w:p w:rsidR="00000000" w:rsidDel="00000000" w:rsidP="00000000" w:rsidRDefault="00000000" w:rsidRPr="00000000" w14:paraId="0000001E">
      <w:pPr>
        <w:spacing w:after="240" w:line="360" w:lineRule="auto"/>
        <w:ind w:firstLine="425.19685039370086"/>
        <w:rPr>
          <w:sz w:val="20"/>
          <w:szCs w:val="20"/>
        </w:rPr>
      </w:pPr>
      <w:r w:rsidDel="00000000" w:rsidR="00000000" w:rsidRPr="00000000">
        <w:rPr>
          <w:sz w:val="20"/>
          <w:szCs w:val="20"/>
          <w:rtl w:val="0"/>
        </w:rPr>
        <w:t xml:space="preserve">Sewell H. (2012). </w:t>
      </w:r>
      <w:r w:rsidDel="00000000" w:rsidR="00000000" w:rsidRPr="00000000">
        <w:rPr>
          <w:i w:val="1"/>
          <w:sz w:val="20"/>
          <w:szCs w:val="20"/>
          <w:rtl w:val="0"/>
        </w:rPr>
        <w:t xml:space="preserve">Equality Act 2010 in Mental Health: A Guide to Implementation and Issues for Practice.</w:t>
      </w:r>
      <w:r w:rsidDel="00000000" w:rsidR="00000000" w:rsidRPr="00000000">
        <w:rPr>
          <w:sz w:val="20"/>
          <w:szCs w:val="20"/>
          <w:rtl w:val="0"/>
        </w:rPr>
        <w:t xml:space="preserve"> United Kingdom: Jessica Kingsley Publishers. 1-256.</w:t>
      </w:r>
    </w:p>
    <w:p w:rsidR="00000000" w:rsidDel="00000000" w:rsidP="00000000" w:rsidRDefault="00000000" w:rsidRPr="00000000" w14:paraId="0000001F">
      <w:pPr>
        <w:spacing w:line="360" w:lineRule="auto"/>
        <w:rPr>
          <w:sz w:val="20"/>
          <w:szCs w:val="20"/>
        </w:rPr>
      </w:pPr>
      <w:r w:rsidDel="00000000" w:rsidR="00000000" w:rsidRPr="00000000">
        <w:rPr>
          <w:rtl w:val="0"/>
        </w:rPr>
      </w:r>
    </w:p>
    <w:sectPr>
      <w:type w:val="continuous"/>
      <w:pgSz w:h="15840" w:w="12240" w:orient="portrait"/>
      <w:pgMar w:bottom="1440" w:top="1440" w:left="2160" w:right="1440" w:header="720" w:footer="720"/>
      <w:pgNumType w:start="0"/>
      <w:cols w:equalWidth="0" w:num="2">
        <w:col w:space="720" w:w="3960"/>
        <w:col w:space="0" w:w="3960"/>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480" w:lineRule="auto"/>
    </w:pPr>
    <w:rPr>
      <w:sz w:val="24"/>
      <w:szCs w:val="24"/>
      <w:lang w:eastAsia="en-US" w:val="en-US"/>
    </w:rPr>
  </w:style>
  <w:style w:type="paragraph" w:styleId="Heading1">
    <w:name w:val="heading 1"/>
    <w:basedOn w:val="Normal"/>
    <w:next w:val="Normal"/>
    <w:link w:val="Heading1Char"/>
    <w:uiPriority w:val="9"/>
    <w:qFormat w:val="1"/>
    <w:rsid w:val="009D4A7D"/>
    <w:pPr>
      <w:keepNext w:val="1"/>
      <w:keepLines w:val="1"/>
      <w:spacing w:before="480" w:line="276" w:lineRule="auto"/>
      <w:outlineLvl w:val="0"/>
    </w:pPr>
    <w:rPr>
      <w:rFonts w:ascii="Cambria" w:eastAsia="Times New Roman" w:hAnsi="Cambria"/>
      <w:b w:val="1"/>
      <w:bCs w:val="1"/>
      <w:color w:val="365f91"/>
      <w:sz w:val="28"/>
      <w:szCs w:val="28"/>
      <w:lang w:eastAsia="ja-JP"/>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D4A7D"/>
    <w:pPr>
      <w:tabs>
        <w:tab w:val="center" w:pos="4680"/>
        <w:tab w:val="right" w:pos="9360"/>
      </w:tabs>
      <w:spacing w:line="240" w:lineRule="auto"/>
    </w:pPr>
  </w:style>
  <w:style w:type="character" w:styleId="HeaderChar" w:customStyle="1">
    <w:name w:val="Header Char"/>
    <w:basedOn w:val="DefaultParagraphFont"/>
    <w:link w:val="Header"/>
    <w:uiPriority w:val="99"/>
    <w:rsid w:val="009D4A7D"/>
  </w:style>
  <w:style w:type="paragraph" w:styleId="Footer">
    <w:name w:val="footer"/>
    <w:basedOn w:val="Normal"/>
    <w:link w:val="FooterChar"/>
    <w:uiPriority w:val="99"/>
    <w:unhideWhenUsed w:val="1"/>
    <w:rsid w:val="009D4A7D"/>
    <w:pPr>
      <w:tabs>
        <w:tab w:val="center" w:pos="4680"/>
        <w:tab w:val="right" w:pos="9360"/>
      </w:tabs>
      <w:spacing w:line="240" w:lineRule="auto"/>
    </w:pPr>
  </w:style>
  <w:style w:type="character" w:styleId="FooterChar" w:customStyle="1">
    <w:name w:val="Footer Char"/>
    <w:basedOn w:val="DefaultParagraphFont"/>
    <w:link w:val="Footer"/>
    <w:uiPriority w:val="99"/>
    <w:rsid w:val="009D4A7D"/>
  </w:style>
  <w:style w:type="character" w:styleId="Heading1Char" w:customStyle="1">
    <w:name w:val="Heading 1 Char"/>
    <w:link w:val="Heading1"/>
    <w:uiPriority w:val="9"/>
    <w:rsid w:val="009D4A7D"/>
    <w:rPr>
      <w:rFonts w:ascii="Cambria" w:cs="Times New Roman" w:eastAsia="Times New Roman" w:hAnsi="Cambria"/>
      <w:b w:val="1"/>
      <w:bCs w:val="1"/>
      <w:color w:val="365f91"/>
      <w:sz w:val="28"/>
      <w:szCs w:val="28"/>
      <w:lang w:eastAsia="ja-JP"/>
    </w:rPr>
  </w:style>
  <w:style w:type="paragraph" w:styleId="BalloonText">
    <w:name w:val="Balloon Text"/>
    <w:basedOn w:val="Normal"/>
    <w:link w:val="BalloonTextChar"/>
    <w:uiPriority w:val="99"/>
    <w:semiHidden w:val="1"/>
    <w:unhideWhenUsed w:val="1"/>
    <w:rsid w:val="009D4A7D"/>
    <w:pPr>
      <w:spacing w:line="240" w:lineRule="auto"/>
    </w:pPr>
    <w:rPr>
      <w:rFonts w:ascii="Tahoma" w:cs="Tahoma" w:hAnsi="Tahoma"/>
      <w:sz w:val="16"/>
      <w:szCs w:val="16"/>
    </w:rPr>
  </w:style>
  <w:style w:type="character" w:styleId="BalloonTextChar" w:customStyle="1">
    <w:name w:val="Balloon Text Char"/>
    <w:link w:val="BalloonText"/>
    <w:uiPriority w:val="99"/>
    <w:semiHidden w:val="1"/>
    <w:rsid w:val="009D4A7D"/>
    <w:rPr>
      <w:rFonts w:ascii="Tahoma" w:cs="Tahoma" w:hAnsi="Tahoma"/>
      <w:sz w:val="16"/>
      <w:szCs w:val="16"/>
    </w:rPr>
  </w:style>
  <w:style w:type="paragraph" w:styleId="ListParagraph">
    <w:name w:val="List Paragraph"/>
    <w:basedOn w:val="Normal"/>
    <w:uiPriority w:val="34"/>
    <w:qFormat w:val="1"/>
    <w:rsid w:val="009D4A7D"/>
    <w:pPr>
      <w:ind w:left="720"/>
      <w:contextualSpacing w:val="1"/>
    </w:pPr>
  </w:style>
  <w:style w:type="paragraph" w:styleId="NoSpacing">
    <w:name w:val="No Spacing"/>
    <w:link w:val="NoSpacingChar"/>
    <w:uiPriority w:val="1"/>
    <w:qFormat w:val="1"/>
    <w:rsid w:val="009D4A7D"/>
    <w:rPr>
      <w:rFonts w:ascii="Calibri" w:eastAsia="Times New Roman" w:hAnsi="Calibri"/>
      <w:sz w:val="22"/>
      <w:szCs w:val="22"/>
      <w:lang w:eastAsia="ja-JP" w:val="en-US"/>
    </w:rPr>
  </w:style>
  <w:style w:type="character" w:styleId="NoSpacingChar" w:customStyle="1">
    <w:name w:val="No Spacing Char"/>
    <w:link w:val="NoSpacing"/>
    <w:uiPriority w:val="1"/>
    <w:rsid w:val="009D4A7D"/>
    <w:rPr>
      <w:rFonts w:ascii="Calibri" w:cs="Times New Roman" w:eastAsia="Times New Roman" w:hAnsi="Calibri"/>
      <w:sz w:val="22"/>
      <w:szCs w:val="22"/>
      <w:lang w:eastAsia="ja-JP"/>
    </w:rPr>
  </w:style>
  <w:style w:type="table" w:styleId="MediumList2-Accent2">
    <w:name w:val="Medium List 2 Accent 2"/>
    <w:basedOn w:val="TableNormal"/>
    <w:uiPriority w:val="66"/>
    <w:rsid w:val="00A63CCC"/>
    <w:rPr>
      <w:rFonts w:ascii="Cambria" w:eastAsia="Times New Roman" w:hAnsi="Cambria"/>
      <w:color w:val="000000"/>
    </w:rPr>
    <w:tblPr>
      <w:tblStyleRowBandSize w:val="1"/>
      <w:tblStyleColBandSize w:val="1"/>
      <w:tblBorders>
        <w:top w:color="c0504d" w:space="0" w:sz="8" w:val="single"/>
        <w:left w:color="c0504d" w:space="0" w:sz="8" w:val="single"/>
        <w:bottom w:color="c0504d" w:space="0" w:sz="8" w:val="single"/>
        <w:right w:color="c0504d" w:space="0" w:sz="8" w:val="single"/>
      </w:tblBorders>
    </w:tblPr>
    <w:tblStylePr w:type="firstRow">
      <w:rPr>
        <w:sz w:val="24"/>
        <w:szCs w:val="24"/>
      </w:rPr>
      <w:tblPr/>
      <w:tcPr>
        <w:tcBorders>
          <w:top w:space="0" w:sz="0" w:val="nil"/>
          <w:left w:space="0" w:sz="0" w:val="nil"/>
          <w:bottom w:color="c0504d" w:space="0" w:sz="24" w:val="single"/>
          <w:right w:space="0" w:sz="0" w:val="nil"/>
          <w:insideH w:space="0" w:sz="0" w:val="nil"/>
          <w:insideV w:space="0" w:sz="0" w:val="nil"/>
        </w:tcBorders>
        <w:shd w:color="auto" w:fill="ffffff" w:val="clear"/>
      </w:tcPr>
    </w:tblStylePr>
    <w:tblStylePr w:type="lastRow">
      <w:tblPr/>
      <w:tcPr>
        <w:tcBorders>
          <w:top w:color="c0504d" w:space="0" w:sz="8" w:val="single"/>
          <w:left w:space="0" w:sz="0" w:val="nil"/>
          <w:bottom w:space="0" w:sz="0" w:val="nil"/>
          <w:right w:space="0" w:sz="0" w:val="nil"/>
          <w:insideH w:space="0" w:sz="0" w:val="nil"/>
          <w:insideV w:space="0" w:sz="0" w:val="nil"/>
        </w:tcBorders>
        <w:shd w:color="auto" w:fill="ffffff" w:val="clear"/>
      </w:tcPr>
    </w:tblStylePr>
    <w:tblStylePr w:type="firstCol">
      <w:tblPr/>
      <w:tcPr>
        <w:tcBorders>
          <w:top w:space="0" w:sz="0" w:val="nil"/>
          <w:left w:space="0" w:sz="0" w:val="nil"/>
          <w:bottom w:space="0" w:sz="0" w:val="nil"/>
          <w:right w:color="c0504d" w:space="0" w:sz="8" w:val="single"/>
          <w:insideH w:space="0" w:sz="0" w:val="nil"/>
          <w:insideV w:space="0" w:sz="0" w:val="nil"/>
        </w:tcBorders>
        <w:shd w:color="auto" w:fill="ffffff" w:val="clear"/>
      </w:tcPr>
    </w:tblStylePr>
    <w:tblStylePr w:type="lastCol">
      <w:tblPr/>
      <w:tcPr>
        <w:tcBorders>
          <w:top w:space="0" w:sz="0" w:val="nil"/>
          <w:left w:color="c0504d" w:space="0" w:sz="8" w:val="single"/>
          <w:bottom w:space="0" w:sz="0" w:val="nil"/>
          <w:right w:space="0" w:sz="0" w:val="nil"/>
          <w:insideH w:space="0" w:sz="0" w:val="nil"/>
          <w:insideV w:space="0" w:sz="0" w:val="nil"/>
        </w:tcBorders>
        <w:shd w:color="auto" w:fill="ffffff" w:val="clear"/>
      </w:tcPr>
    </w:tblStylePr>
    <w:tblStylePr w:type="band1Vert">
      <w:tblPr/>
      <w:tcPr>
        <w:tcBorders>
          <w:left w:space="0" w:sz="0" w:val="nil"/>
          <w:right w:space="0" w:sz="0" w:val="nil"/>
          <w:insideH w:space="0" w:sz="0" w:val="nil"/>
          <w:insideV w:space="0" w:sz="0" w:val="nil"/>
        </w:tcBorders>
        <w:shd w:color="auto" w:fill="efd3d2" w:val="clear"/>
      </w:tcPr>
    </w:tblStylePr>
    <w:tblStylePr w:type="band1Horz">
      <w:tblPr/>
      <w:tcPr>
        <w:tcBorders>
          <w:top w:space="0" w:sz="0" w:val="nil"/>
          <w:bottom w:space="0" w:sz="0" w:val="nil"/>
          <w:insideH w:space="0" w:sz="0" w:val="nil"/>
          <w:insideV w:space="0" w:sz="0" w:val="nil"/>
        </w:tcBorders>
        <w:shd w:color="auto" w:fill="efd3d2" w:val="clear"/>
      </w:tcPr>
    </w:tblStylePr>
    <w:tblStylePr w:type="nwCell">
      <w:tblPr/>
      <w:tcPr>
        <w:shd w:color="auto" w:fill="ffffff" w:val="clear"/>
      </w:tcPr>
    </w:tblStylePr>
    <w:tblStylePr w:type="swCell">
      <w:tblPr/>
      <w:tcPr>
        <w:tcBorders>
          <w:top w:space="0" w:sz="0" w:val="nil"/>
        </w:tcBorders>
      </w:tcPr>
    </w:tblStylePr>
  </w:style>
  <w:style w:type="table" w:styleId="PlainTable4">
    <w:name w:val="Plain Table 4"/>
    <w:basedOn w:val="TableNormal"/>
    <w:uiPriority w:val="44"/>
    <w:rsid w:val="005827F2"/>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6mLF67pG/Lft8aZLCDUjMozwsQ==">AMUW2mXkeDpTG0yNvZwmN7+QxYGBpGZ8DJVX7cmeHdkQMtFSXuAPDL8It5/av5z/PX4wF01dTsAJazf5xWbaMdGPfebOGK/z1bKiXMok+AVttlj3g1W/X0q7Apgx4xrkP5gH5l3NKlqS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2017-10-30T11:01:00Z</dcterms:created>
  <dc:creator>Armani</dc:creator>
</cp:coreProperties>
</file>