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CBCC3" w14:textId="77777777" w:rsidR="00B40C5E" w:rsidRPr="00B40C5E" w:rsidRDefault="00B40C5E" w:rsidP="00B40C5E">
      <w:pPr>
        <w:spacing w:line="480" w:lineRule="auto"/>
        <w:jc w:val="center"/>
        <w:rPr>
          <w:rFonts w:ascii="Times New Roman" w:eastAsia="Times New Roman" w:hAnsi="Times New Roman" w:cs="Times New Roman"/>
          <w:sz w:val="24"/>
          <w:szCs w:val="24"/>
          <w:lang/>
        </w:rPr>
      </w:pPr>
      <w:r w:rsidRPr="00B40C5E">
        <w:rPr>
          <w:rFonts w:ascii="Times New Roman" w:eastAsia="Times New Roman" w:hAnsi="Times New Roman" w:cs="Times New Roman"/>
          <w:b/>
          <w:bCs/>
          <w:color w:val="000000"/>
          <w:sz w:val="48"/>
          <w:szCs w:val="48"/>
          <w:lang/>
        </w:rPr>
        <w:t>Roper-Logan-Tierney Model</w:t>
      </w:r>
    </w:p>
    <w:p w14:paraId="7C925097" w14:textId="77777777" w:rsidR="00B40C5E" w:rsidRPr="00B40C5E" w:rsidRDefault="00B40C5E" w:rsidP="00B40C5E">
      <w:pPr>
        <w:spacing w:before="240" w:after="0" w:line="480" w:lineRule="auto"/>
        <w:outlineLvl w:val="0"/>
        <w:rPr>
          <w:rFonts w:ascii="Times New Roman" w:eastAsia="Times New Roman" w:hAnsi="Times New Roman" w:cs="Times New Roman"/>
          <w:b/>
          <w:bCs/>
          <w:kern w:val="36"/>
          <w:sz w:val="48"/>
          <w:szCs w:val="48"/>
          <w:lang/>
        </w:rPr>
      </w:pPr>
      <w:r w:rsidRPr="00B40C5E">
        <w:rPr>
          <w:rFonts w:ascii="Times New Roman" w:eastAsia="Times New Roman" w:hAnsi="Times New Roman" w:cs="Times New Roman"/>
          <w:b/>
          <w:bCs/>
          <w:color w:val="000000"/>
          <w:kern w:val="36"/>
          <w:sz w:val="40"/>
          <w:szCs w:val="40"/>
          <w:lang/>
        </w:rPr>
        <w:t>Introduction</w:t>
      </w:r>
    </w:p>
    <w:p w14:paraId="142AA333" w14:textId="77777777" w:rsidR="00B40C5E" w:rsidRPr="00B40C5E" w:rsidRDefault="00B40C5E" w:rsidP="00B40C5E">
      <w:pPr>
        <w:spacing w:line="480" w:lineRule="auto"/>
        <w:ind w:firstLine="720"/>
        <w:rPr>
          <w:rFonts w:ascii="Times New Roman" w:eastAsia="Times New Roman" w:hAnsi="Times New Roman" w:cs="Times New Roman"/>
          <w:sz w:val="24"/>
          <w:szCs w:val="24"/>
          <w:lang/>
        </w:rPr>
      </w:pPr>
      <w:r w:rsidRPr="00B40C5E">
        <w:rPr>
          <w:rFonts w:ascii="Times New Roman" w:eastAsia="Times New Roman" w:hAnsi="Times New Roman" w:cs="Times New Roman"/>
          <w:color w:val="000000"/>
          <w:sz w:val="24"/>
          <w:szCs w:val="24"/>
          <w:lang/>
        </w:rPr>
        <w:t>The Roper Logan and Tierney model of nursing is an ideal of nursing upkeep founded upon activities of living. This particular model is christened after its authors; Winifred Logan, Nancy Roper and Alison Tierney (Timmins &amp; O'Shea, 2004). The use of this model is considerably predominant in the United Kingdom especially in the public sector. The model in question is grounded on twelve activities of daily living. The method through which every person is able to carry out every activity of living and how they live is taken into consideration in the model. Aside from the 12 DLs, the model is also based on four important sections. It is through these four sections that nurses are able improve on patient care by making sure that patient care is in line with personal requirements. Assessment, planning, implementation and evaluation aid the nurses in viewing patients more holistically and provide care along the same lines for every patient. They also offer guidance in recognizing the patient as a person instead of putting a label on them based on their health condition. </w:t>
      </w:r>
    </w:p>
    <w:p w14:paraId="42C39632" w14:textId="77777777" w:rsidR="00B40C5E" w:rsidRPr="00B40C5E" w:rsidRDefault="00B40C5E" w:rsidP="00B40C5E">
      <w:pPr>
        <w:spacing w:before="240" w:after="0" w:line="480" w:lineRule="auto"/>
        <w:outlineLvl w:val="0"/>
        <w:rPr>
          <w:rFonts w:ascii="Times New Roman" w:eastAsia="Times New Roman" w:hAnsi="Times New Roman" w:cs="Times New Roman"/>
          <w:b/>
          <w:bCs/>
          <w:kern w:val="36"/>
          <w:sz w:val="48"/>
          <w:szCs w:val="48"/>
          <w:lang/>
        </w:rPr>
      </w:pPr>
      <w:r w:rsidRPr="00B40C5E">
        <w:rPr>
          <w:rFonts w:ascii="Times New Roman" w:eastAsia="Times New Roman" w:hAnsi="Times New Roman" w:cs="Times New Roman"/>
          <w:b/>
          <w:bCs/>
          <w:color w:val="000000"/>
          <w:kern w:val="36"/>
          <w:sz w:val="40"/>
          <w:szCs w:val="40"/>
          <w:lang/>
        </w:rPr>
        <w:t>Model Framework</w:t>
      </w:r>
    </w:p>
    <w:p w14:paraId="6465DE9E" w14:textId="77777777" w:rsidR="00B40C5E" w:rsidRPr="00B40C5E" w:rsidRDefault="00B40C5E" w:rsidP="00B40C5E">
      <w:pPr>
        <w:spacing w:line="480" w:lineRule="auto"/>
        <w:ind w:firstLine="720"/>
        <w:rPr>
          <w:rFonts w:ascii="Times New Roman" w:eastAsia="Times New Roman" w:hAnsi="Times New Roman" w:cs="Times New Roman"/>
          <w:sz w:val="24"/>
          <w:szCs w:val="24"/>
          <w:lang/>
        </w:rPr>
      </w:pPr>
      <w:r w:rsidRPr="00B40C5E">
        <w:rPr>
          <w:rFonts w:ascii="Times New Roman" w:eastAsia="Times New Roman" w:hAnsi="Times New Roman" w:cs="Times New Roman"/>
          <w:color w:val="000000"/>
          <w:sz w:val="24"/>
          <w:szCs w:val="24"/>
          <w:lang/>
        </w:rPr>
        <w:t xml:space="preserve">The Roper-Logan-Tierney Model comprises of a set of main features that are included in in the care plan. The first feature of the Roper-Logan-Tierney Model is the different stages that are comprised in the care plan (Aggleton, 2000). An example of the different stages in the model is the assessment stage. The assessing phase takes account of collecting statistics about a patient, going through this data, classifying concrete in addition to possible complications and ranking. Evaluation makes it possible for both the patient and the nurse as well to pin point existing and prospective health problems. Other stages include planning, implementation and evaluation phases. These four stages form part of a circular problem solving method that comes about as a </w:t>
      </w:r>
      <w:r w:rsidRPr="00B40C5E">
        <w:rPr>
          <w:rFonts w:ascii="Times New Roman" w:eastAsia="Times New Roman" w:hAnsi="Times New Roman" w:cs="Times New Roman"/>
          <w:color w:val="000000"/>
          <w:sz w:val="24"/>
          <w:szCs w:val="24"/>
          <w:lang/>
        </w:rPr>
        <w:lastRenderedPageBreak/>
        <w:t>continuous process. Such a process endorses the feature of the model as a problem solving-centered framework since the patient has to undergo assessment and possible reassessment to the point which every health problem is addressed. </w:t>
      </w:r>
    </w:p>
    <w:p w14:paraId="331A472A" w14:textId="77777777" w:rsidR="00B40C5E" w:rsidRPr="00B40C5E" w:rsidRDefault="00B40C5E" w:rsidP="00B40C5E">
      <w:pPr>
        <w:spacing w:line="480" w:lineRule="auto"/>
        <w:ind w:firstLine="720"/>
        <w:rPr>
          <w:rFonts w:ascii="Times New Roman" w:eastAsia="Times New Roman" w:hAnsi="Times New Roman" w:cs="Times New Roman"/>
          <w:sz w:val="24"/>
          <w:szCs w:val="24"/>
          <w:lang/>
        </w:rPr>
      </w:pPr>
      <w:r w:rsidRPr="00B40C5E">
        <w:rPr>
          <w:rFonts w:ascii="Times New Roman" w:eastAsia="Times New Roman" w:hAnsi="Times New Roman" w:cs="Times New Roman"/>
          <w:color w:val="000000"/>
          <w:sz w:val="24"/>
          <w:szCs w:val="24"/>
          <w:lang/>
        </w:rPr>
        <w:t>The Roper-Logan-Tierney Model aids in making sure that nurses have the ability to adapt to a problem-solving method every time that they are faced with coming up with a care plan for patients (N., W.W., &amp; A.J., 1980). Aside from being centered on problem solving, the Roper-Logan-Tierney Model also holds the distinct feature of being centered on the patient. Using the feature of 12 ALs, the model makes it possible to gauge whether a patient is able to carry them out independently. However, it is important for the nurse to account for impacting forces in terms of socio-cultural, psychological, environmental, physical and politico-economic factors. These 12 activities are (Aggleton, 2000): </w:t>
      </w:r>
    </w:p>
    <w:p w14:paraId="1228E217" w14:textId="77777777" w:rsidR="00B40C5E" w:rsidRPr="00B40C5E" w:rsidRDefault="00B40C5E" w:rsidP="00B40C5E">
      <w:pPr>
        <w:numPr>
          <w:ilvl w:val="0"/>
          <w:numId w:val="1"/>
        </w:numPr>
        <w:spacing w:after="0" w:line="480" w:lineRule="auto"/>
        <w:textAlignment w:val="baseline"/>
        <w:rPr>
          <w:rFonts w:ascii="Arial" w:eastAsia="Times New Roman" w:hAnsi="Arial" w:cs="Arial"/>
          <w:color w:val="000000"/>
          <w:sz w:val="24"/>
          <w:szCs w:val="24"/>
          <w:lang/>
        </w:rPr>
      </w:pPr>
      <w:r w:rsidRPr="00B40C5E">
        <w:rPr>
          <w:rFonts w:ascii="Times New Roman" w:eastAsia="Times New Roman" w:hAnsi="Times New Roman" w:cs="Times New Roman"/>
          <w:color w:val="000000"/>
          <w:sz w:val="24"/>
          <w:szCs w:val="24"/>
          <w:lang/>
        </w:rPr>
        <w:t>Washing and dressing.</w:t>
      </w:r>
    </w:p>
    <w:p w14:paraId="457638F0" w14:textId="77777777" w:rsidR="00B40C5E" w:rsidRPr="00B40C5E" w:rsidRDefault="00B40C5E" w:rsidP="00B40C5E">
      <w:pPr>
        <w:numPr>
          <w:ilvl w:val="0"/>
          <w:numId w:val="1"/>
        </w:numPr>
        <w:spacing w:after="0" w:line="480" w:lineRule="auto"/>
        <w:textAlignment w:val="baseline"/>
        <w:rPr>
          <w:rFonts w:ascii="Arial" w:eastAsia="Times New Roman" w:hAnsi="Arial" w:cs="Arial"/>
          <w:color w:val="000000"/>
          <w:sz w:val="24"/>
          <w:szCs w:val="24"/>
          <w:lang/>
        </w:rPr>
      </w:pPr>
      <w:r w:rsidRPr="00B40C5E">
        <w:rPr>
          <w:rFonts w:ascii="Times New Roman" w:eastAsia="Times New Roman" w:hAnsi="Times New Roman" w:cs="Times New Roman"/>
          <w:color w:val="000000"/>
          <w:sz w:val="24"/>
          <w:szCs w:val="24"/>
          <w:lang/>
        </w:rPr>
        <w:t>Breathing.</w:t>
      </w:r>
    </w:p>
    <w:p w14:paraId="63732BF2" w14:textId="77777777" w:rsidR="00B40C5E" w:rsidRPr="00B40C5E" w:rsidRDefault="00B40C5E" w:rsidP="00B40C5E">
      <w:pPr>
        <w:numPr>
          <w:ilvl w:val="0"/>
          <w:numId w:val="1"/>
        </w:numPr>
        <w:spacing w:after="0" w:line="480" w:lineRule="auto"/>
        <w:textAlignment w:val="baseline"/>
        <w:rPr>
          <w:rFonts w:ascii="Arial" w:eastAsia="Times New Roman" w:hAnsi="Arial" w:cs="Arial"/>
          <w:color w:val="000000"/>
          <w:sz w:val="24"/>
          <w:szCs w:val="24"/>
          <w:lang/>
        </w:rPr>
      </w:pPr>
      <w:r w:rsidRPr="00B40C5E">
        <w:rPr>
          <w:rFonts w:ascii="Times New Roman" w:eastAsia="Times New Roman" w:hAnsi="Times New Roman" w:cs="Times New Roman"/>
          <w:color w:val="000000"/>
          <w:sz w:val="24"/>
          <w:szCs w:val="24"/>
          <w:lang/>
        </w:rPr>
        <w:t>Expressing sexuality.</w:t>
      </w:r>
    </w:p>
    <w:p w14:paraId="5469DE2C" w14:textId="77777777" w:rsidR="00B40C5E" w:rsidRPr="00B40C5E" w:rsidRDefault="00B40C5E" w:rsidP="00B40C5E">
      <w:pPr>
        <w:numPr>
          <w:ilvl w:val="0"/>
          <w:numId w:val="1"/>
        </w:numPr>
        <w:spacing w:after="0" w:line="480" w:lineRule="auto"/>
        <w:textAlignment w:val="baseline"/>
        <w:rPr>
          <w:rFonts w:ascii="Arial" w:eastAsia="Times New Roman" w:hAnsi="Arial" w:cs="Arial"/>
          <w:color w:val="000000"/>
          <w:sz w:val="24"/>
          <w:szCs w:val="24"/>
          <w:lang/>
        </w:rPr>
      </w:pPr>
      <w:r w:rsidRPr="00B40C5E">
        <w:rPr>
          <w:rFonts w:ascii="Times New Roman" w:eastAsia="Times New Roman" w:hAnsi="Times New Roman" w:cs="Times New Roman"/>
          <w:color w:val="000000"/>
          <w:sz w:val="24"/>
          <w:szCs w:val="24"/>
          <w:lang/>
        </w:rPr>
        <w:t>Eating and drinking.</w:t>
      </w:r>
    </w:p>
    <w:p w14:paraId="7C7D101A" w14:textId="77777777" w:rsidR="00B40C5E" w:rsidRPr="00B40C5E" w:rsidRDefault="00B40C5E" w:rsidP="00B40C5E">
      <w:pPr>
        <w:numPr>
          <w:ilvl w:val="0"/>
          <w:numId w:val="1"/>
        </w:numPr>
        <w:spacing w:after="0" w:line="480" w:lineRule="auto"/>
        <w:textAlignment w:val="baseline"/>
        <w:rPr>
          <w:rFonts w:ascii="Arial" w:eastAsia="Times New Roman" w:hAnsi="Arial" w:cs="Arial"/>
          <w:color w:val="000000"/>
          <w:sz w:val="24"/>
          <w:szCs w:val="24"/>
          <w:lang/>
        </w:rPr>
      </w:pPr>
      <w:r w:rsidRPr="00B40C5E">
        <w:rPr>
          <w:rFonts w:ascii="Times New Roman" w:eastAsia="Times New Roman" w:hAnsi="Times New Roman" w:cs="Times New Roman"/>
          <w:color w:val="000000"/>
          <w:sz w:val="24"/>
          <w:szCs w:val="24"/>
          <w:lang/>
        </w:rPr>
        <w:t>Maintaining a safe environment.</w:t>
      </w:r>
    </w:p>
    <w:p w14:paraId="64DFB8A5" w14:textId="77777777" w:rsidR="00B40C5E" w:rsidRPr="00B40C5E" w:rsidRDefault="00B40C5E" w:rsidP="00B40C5E">
      <w:pPr>
        <w:numPr>
          <w:ilvl w:val="0"/>
          <w:numId w:val="1"/>
        </w:numPr>
        <w:spacing w:after="0" w:line="480" w:lineRule="auto"/>
        <w:textAlignment w:val="baseline"/>
        <w:rPr>
          <w:rFonts w:ascii="Arial" w:eastAsia="Times New Roman" w:hAnsi="Arial" w:cs="Arial"/>
          <w:color w:val="000000"/>
          <w:sz w:val="24"/>
          <w:szCs w:val="24"/>
          <w:lang/>
        </w:rPr>
      </w:pPr>
      <w:r w:rsidRPr="00B40C5E">
        <w:rPr>
          <w:rFonts w:ascii="Times New Roman" w:eastAsia="Times New Roman" w:hAnsi="Times New Roman" w:cs="Times New Roman"/>
          <w:color w:val="000000"/>
          <w:sz w:val="24"/>
          <w:szCs w:val="24"/>
          <w:lang/>
        </w:rPr>
        <w:t>Expressing sexuality.</w:t>
      </w:r>
    </w:p>
    <w:p w14:paraId="75BB6DE0" w14:textId="77777777" w:rsidR="00B40C5E" w:rsidRPr="00B40C5E" w:rsidRDefault="00B40C5E" w:rsidP="00B40C5E">
      <w:pPr>
        <w:numPr>
          <w:ilvl w:val="0"/>
          <w:numId w:val="1"/>
        </w:numPr>
        <w:spacing w:after="0" w:line="480" w:lineRule="auto"/>
        <w:textAlignment w:val="baseline"/>
        <w:rPr>
          <w:rFonts w:ascii="Arial" w:eastAsia="Times New Roman" w:hAnsi="Arial" w:cs="Arial"/>
          <w:color w:val="000000"/>
          <w:sz w:val="24"/>
          <w:szCs w:val="24"/>
          <w:lang/>
        </w:rPr>
      </w:pPr>
      <w:r w:rsidRPr="00B40C5E">
        <w:rPr>
          <w:rFonts w:ascii="Times New Roman" w:eastAsia="Times New Roman" w:hAnsi="Times New Roman" w:cs="Times New Roman"/>
          <w:color w:val="000000"/>
          <w:sz w:val="24"/>
          <w:szCs w:val="24"/>
          <w:lang/>
        </w:rPr>
        <w:t>Mobilization.</w:t>
      </w:r>
    </w:p>
    <w:p w14:paraId="327325B5" w14:textId="77777777" w:rsidR="00B40C5E" w:rsidRPr="00B40C5E" w:rsidRDefault="00B40C5E" w:rsidP="00B40C5E">
      <w:pPr>
        <w:numPr>
          <w:ilvl w:val="0"/>
          <w:numId w:val="1"/>
        </w:numPr>
        <w:spacing w:after="0" w:line="480" w:lineRule="auto"/>
        <w:textAlignment w:val="baseline"/>
        <w:rPr>
          <w:rFonts w:ascii="Arial" w:eastAsia="Times New Roman" w:hAnsi="Arial" w:cs="Arial"/>
          <w:color w:val="000000"/>
          <w:sz w:val="24"/>
          <w:szCs w:val="24"/>
          <w:lang/>
        </w:rPr>
      </w:pPr>
      <w:r w:rsidRPr="00B40C5E">
        <w:rPr>
          <w:rFonts w:ascii="Times New Roman" w:eastAsia="Times New Roman" w:hAnsi="Times New Roman" w:cs="Times New Roman"/>
          <w:color w:val="000000"/>
          <w:sz w:val="24"/>
          <w:szCs w:val="24"/>
          <w:lang/>
        </w:rPr>
        <w:t>Communication.</w:t>
      </w:r>
    </w:p>
    <w:p w14:paraId="067A69FF" w14:textId="77777777" w:rsidR="00B40C5E" w:rsidRPr="00B40C5E" w:rsidRDefault="00B40C5E" w:rsidP="00B40C5E">
      <w:pPr>
        <w:numPr>
          <w:ilvl w:val="0"/>
          <w:numId w:val="1"/>
        </w:numPr>
        <w:spacing w:after="0" w:line="480" w:lineRule="auto"/>
        <w:textAlignment w:val="baseline"/>
        <w:rPr>
          <w:rFonts w:ascii="Arial" w:eastAsia="Times New Roman" w:hAnsi="Arial" w:cs="Arial"/>
          <w:color w:val="000000"/>
          <w:sz w:val="24"/>
          <w:szCs w:val="24"/>
          <w:lang/>
        </w:rPr>
      </w:pPr>
      <w:r w:rsidRPr="00B40C5E">
        <w:rPr>
          <w:rFonts w:ascii="Times New Roman" w:eastAsia="Times New Roman" w:hAnsi="Times New Roman" w:cs="Times New Roman"/>
          <w:color w:val="000000"/>
          <w:sz w:val="24"/>
          <w:szCs w:val="24"/>
          <w:lang/>
        </w:rPr>
        <w:t>Elimination.</w:t>
      </w:r>
    </w:p>
    <w:p w14:paraId="21411BED" w14:textId="77777777" w:rsidR="00B40C5E" w:rsidRPr="00B40C5E" w:rsidRDefault="00B40C5E" w:rsidP="00B40C5E">
      <w:pPr>
        <w:numPr>
          <w:ilvl w:val="0"/>
          <w:numId w:val="1"/>
        </w:numPr>
        <w:spacing w:after="0" w:line="480" w:lineRule="auto"/>
        <w:textAlignment w:val="baseline"/>
        <w:rPr>
          <w:rFonts w:ascii="Arial" w:eastAsia="Times New Roman" w:hAnsi="Arial" w:cs="Arial"/>
          <w:color w:val="000000"/>
          <w:sz w:val="24"/>
          <w:szCs w:val="24"/>
          <w:lang/>
        </w:rPr>
      </w:pPr>
      <w:r w:rsidRPr="00B40C5E">
        <w:rPr>
          <w:rFonts w:ascii="Times New Roman" w:eastAsia="Times New Roman" w:hAnsi="Times New Roman" w:cs="Times New Roman"/>
          <w:color w:val="000000"/>
          <w:sz w:val="24"/>
          <w:szCs w:val="24"/>
          <w:lang/>
        </w:rPr>
        <w:t>Controlling temperature.</w:t>
      </w:r>
    </w:p>
    <w:p w14:paraId="59D92717" w14:textId="77777777" w:rsidR="00B40C5E" w:rsidRPr="00B40C5E" w:rsidRDefault="00B40C5E" w:rsidP="00B40C5E">
      <w:pPr>
        <w:numPr>
          <w:ilvl w:val="0"/>
          <w:numId w:val="1"/>
        </w:numPr>
        <w:spacing w:after="0" w:line="480" w:lineRule="auto"/>
        <w:textAlignment w:val="baseline"/>
        <w:rPr>
          <w:rFonts w:ascii="Arial" w:eastAsia="Times New Roman" w:hAnsi="Arial" w:cs="Arial"/>
          <w:color w:val="000000"/>
          <w:sz w:val="24"/>
          <w:szCs w:val="24"/>
          <w:lang/>
        </w:rPr>
      </w:pPr>
      <w:r w:rsidRPr="00B40C5E">
        <w:rPr>
          <w:rFonts w:ascii="Times New Roman" w:eastAsia="Times New Roman" w:hAnsi="Times New Roman" w:cs="Times New Roman"/>
          <w:color w:val="000000"/>
          <w:sz w:val="24"/>
          <w:szCs w:val="24"/>
          <w:lang/>
        </w:rPr>
        <w:t>Working and playing.</w:t>
      </w:r>
    </w:p>
    <w:p w14:paraId="7ABD8EF2" w14:textId="77777777" w:rsidR="00B40C5E" w:rsidRPr="00B40C5E" w:rsidRDefault="00B40C5E" w:rsidP="00B40C5E">
      <w:pPr>
        <w:numPr>
          <w:ilvl w:val="0"/>
          <w:numId w:val="1"/>
        </w:numPr>
        <w:spacing w:after="0" w:line="480" w:lineRule="auto"/>
        <w:textAlignment w:val="baseline"/>
        <w:rPr>
          <w:rFonts w:ascii="Arial" w:eastAsia="Times New Roman" w:hAnsi="Arial" w:cs="Arial"/>
          <w:color w:val="000000"/>
          <w:sz w:val="24"/>
          <w:szCs w:val="24"/>
          <w:lang/>
        </w:rPr>
      </w:pPr>
      <w:r w:rsidRPr="00B40C5E">
        <w:rPr>
          <w:rFonts w:ascii="Times New Roman" w:eastAsia="Times New Roman" w:hAnsi="Times New Roman" w:cs="Times New Roman"/>
          <w:color w:val="000000"/>
          <w:sz w:val="24"/>
          <w:szCs w:val="24"/>
          <w:lang/>
        </w:rPr>
        <w:t>Death and dying.</w:t>
      </w:r>
    </w:p>
    <w:p w14:paraId="5521C1D7" w14:textId="77777777" w:rsidR="00B40C5E" w:rsidRPr="00B40C5E" w:rsidRDefault="00B40C5E" w:rsidP="00B40C5E">
      <w:pPr>
        <w:numPr>
          <w:ilvl w:val="0"/>
          <w:numId w:val="1"/>
        </w:numPr>
        <w:spacing w:line="480" w:lineRule="auto"/>
        <w:textAlignment w:val="baseline"/>
        <w:rPr>
          <w:rFonts w:ascii="Arial" w:eastAsia="Times New Roman" w:hAnsi="Arial" w:cs="Arial"/>
          <w:color w:val="000000"/>
          <w:sz w:val="24"/>
          <w:szCs w:val="24"/>
          <w:lang/>
        </w:rPr>
      </w:pPr>
      <w:r w:rsidRPr="00B40C5E">
        <w:rPr>
          <w:rFonts w:ascii="Times New Roman" w:eastAsia="Times New Roman" w:hAnsi="Times New Roman" w:cs="Times New Roman"/>
          <w:color w:val="000000"/>
          <w:sz w:val="24"/>
          <w:szCs w:val="24"/>
          <w:lang/>
        </w:rPr>
        <w:t>Sleeping.</w:t>
      </w:r>
    </w:p>
    <w:p w14:paraId="0B162C8D" w14:textId="77777777" w:rsidR="00B40C5E" w:rsidRPr="00B40C5E" w:rsidRDefault="00B40C5E" w:rsidP="00B40C5E">
      <w:pPr>
        <w:spacing w:line="480" w:lineRule="auto"/>
        <w:ind w:firstLine="360"/>
        <w:rPr>
          <w:rFonts w:ascii="Times New Roman" w:eastAsia="Times New Roman" w:hAnsi="Times New Roman" w:cs="Times New Roman"/>
          <w:sz w:val="24"/>
          <w:szCs w:val="24"/>
          <w:lang/>
        </w:rPr>
      </w:pPr>
      <w:r w:rsidRPr="00B40C5E">
        <w:rPr>
          <w:rFonts w:ascii="Times New Roman" w:eastAsia="Times New Roman" w:hAnsi="Times New Roman" w:cs="Times New Roman"/>
          <w:color w:val="000000"/>
          <w:sz w:val="24"/>
          <w:szCs w:val="24"/>
          <w:lang/>
        </w:rPr>
        <w:t xml:space="preserve">The Roper-Logan-Tierney Model is characterized by a number of strengths. Most of its strengths arise from its features mentioned earlier. For one, the Roper-Logan-Tierney Model is </w:t>
      </w:r>
      <w:r w:rsidRPr="00B40C5E">
        <w:rPr>
          <w:rFonts w:ascii="Times New Roman" w:eastAsia="Times New Roman" w:hAnsi="Times New Roman" w:cs="Times New Roman"/>
          <w:color w:val="000000"/>
          <w:sz w:val="24"/>
          <w:szCs w:val="24"/>
          <w:lang/>
        </w:rPr>
        <w:lastRenderedPageBreak/>
        <w:t>comprehensive and dynamic and for this reason has the ability to be applied in any field in the nursing profession. The model also has the strength of coming out with a problem solving approach (Timmins &amp; O'Shea, 2004). This is realized from its four cyclic stages that go on until the patient in question has all health issues addressed. To top it all off, the model is characterized by the strength of being centered on the patient. Even though it has commendable strengths, the Roper-Logan-Tierney Model is also characterized by its fair share of limitations. For one, the DLs are in constant susceptibility of being misunderstood. To add to that, they are also prone to be assumed to have a restricted scope. It is due to this that cases like that in the UK of having it lessen to just a checklist arise. Instead of being used to plan on how to escalate independence and life quality of a patient, the DLs have been misunderstood to reduce them to the lowly function of evaluating the ways in which the life of a patient has been altered as a result of injury, illness or hospital admission.</w:t>
      </w:r>
    </w:p>
    <w:p w14:paraId="6CB7CFB9" w14:textId="77777777" w:rsidR="00B40C5E" w:rsidRPr="00B40C5E" w:rsidRDefault="00B40C5E" w:rsidP="00B40C5E">
      <w:pPr>
        <w:spacing w:before="240" w:after="0" w:line="480" w:lineRule="auto"/>
        <w:outlineLvl w:val="0"/>
        <w:rPr>
          <w:rFonts w:ascii="Times New Roman" w:eastAsia="Times New Roman" w:hAnsi="Times New Roman" w:cs="Times New Roman"/>
          <w:b/>
          <w:bCs/>
          <w:kern w:val="36"/>
          <w:sz w:val="48"/>
          <w:szCs w:val="48"/>
          <w:lang/>
        </w:rPr>
      </w:pPr>
      <w:r w:rsidRPr="00B40C5E">
        <w:rPr>
          <w:rFonts w:ascii="Times New Roman" w:eastAsia="Times New Roman" w:hAnsi="Times New Roman" w:cs="Times New Roman"/>
          <w:b/>
          <w:bCs/>
          <w:color w:val="000000"/>
          <w:kern w:val="36"/>
          <w:sz w:val="40"/>
          <w:szCs w:val="40"/>
          <w:lang/>
        </w:rPr>
        <w:t>Person Centered Assessment</w:t>
      </w:r>
    </w:p>
    <w:p w14:paraId="62A8D661" w14:textId="77777777" w:rsidR="00B40C5E" w:rsidRPr="00B40C5E" w:rsidRDefault="00B40C5E" w:rsidP="00B40C5E">
      <w:pPr>
        <w:spacing w:line="480" w:lineRule="auto"/>
        <w:ind w:firstLine="720"/>
        <w:rPr>
          <w:rFonts w:ascii="Times New Roman" w:eastAsia="Times New Roman" w:hAnsi="Times New Roman" w:cs="Times New Roman"/>
          <w:sz w:val="24"/>
          <w:szCs w:val="24"/>
          <w:lang/>
        </w:rPr>
      </w:pPr>
      <w:r w:rsidRPr="00B40C5E">
        <w:rPr>
          <w:rFonts w:ascii="Times New Roman" w:eastAsia="Times New Roman" w:hAnsi="Times New Roman" w:cs="Times New Roman"/>
          <w:color w:val="000000"/>
          <w:sz w:val="24"/>
          <w:szCs w:val="24"/>
          <w:lang/>
        </w:rPr>
        <w:t>Forming a care plan for patients by nurses is significantly driven by person-centered care planning. Person-centered planning can be described as a philosophy or otherwise a set of principles that are grounded on the notion that care planning should begin with, revolve around and end with the individual who in this case is the patient (Calkins, 2016). Nurses play a significant part in aiding patients attain content and valued lifestyles. They have the ability to be influential in the sense of contracting innovative initiatives that are grounded on the requirements of a patient. This is instead of expecting the patient to blend into an already prevalent provision even though it could not be suitable. </w:t>
      </w:r>
    </w:p>
    <w:p w14:paraId="02352FEB" w14:textId="77777777" w:rsidR="00B40C5E" w:rsidRPr="00B40C5E" w:rsidRDefault="00B40C5E" w:rsidP="00B40C5E">
      <w:pPr>
        <w:spacing w:line="480" w:lineRule="auto"/>
        <w:ind w:firstLine="720"/>
        <w:rPr>
          <w:rFonts w:ascii="Times New Roman" w:eastAsia="Times New Roman" w:hAnsi="Times New Roman" w:cs="Times New Roman"/>
          <w:sz w:val="24"/>
          <w:szCs w:val="24"/>
          <w:lang/>
        </w:rPr>
      </w:pPr>
      <w:r w:rsidRPr="00B40C5E">
        <w:rPr>
          <w:rFonts w:ascii="Times New Roman" w:eastAsia="Times New Roman" w:hAnsi="Times New Roman" w:cs="Times New Roman"/>
          <w:color w:val="000000"/>
          <w:sz w:val="24"/>
          <w:szCs w:val="24"/>
          <w:lang/>
        </w:rPr>
        <w:t xml:space="preserve">Nurses ought to recognize that they have the responsibility to find a sense of balance with the duty of care with respect for the patient’s right to deliberate and settle on choices. Looking at the Roper-Logan-Tierney Model, it is considered as a framework for health and social care valuation inclusive of risk assessment within a multifaceted, multi-disciplinary and most </w:t>
      </w:r>
      <w:r w:rsidRPr="00B40C5E">
        <w:rPr>
          <w:rFonts w:ascii="Times New Roman" w:eastAsia="Times New Roman" w:hAnsi="Times New Roman" w:cs="Times New Roman"/>
          <w:color w:val="000000"/>
          <w:sz w:val="24"/>
          <w:szCs w:val="24"/>
          <w:lang/>
        </w:rPr>
        <w:lastRenderedPageBreak/>
        <w:t>importantly a person-centered care planning process. Using an example, nurses in charge of intellectual disability that are offering backing service to patients in a forensic environment in which the patient’s liberation is limited, are still faced with the mandatory obligation of incorporating the ideologies of person-centered care planning into their everyday practice (Forchuk, et al., 1989). As noted earlier, the model which supports a patient-centered approach can be applied in all fields of nursing. </w:t>
      </w:r>
    </w:p>
    <w:p w14:paraId="4D7BF455" w14:textId="77777777" w:rsidR="00B40C5E" w:rsidRPr="00B40C5E" w:rsidRDefault="00B40C5E" w:rsidP="00B40C5E">
      <w:pPr>
        <w:spacing w:line="480" w:lineRule="auto"/>
        <w:ind w:firstLine="720"/>
        <w:rPr>
          <w:rFonts w:ascii="Times New Roman" w:eastAsia="Times New Roman" w:hAnsi="Times New Roman" w:cs="Times New Roman"/>
          <w:sz w:val="24"/>
          <w:szCs w:val="24"/>
          <w:lang/>
        </w:rPr>
      </w:pPr>
      <w:r w:rsidRPr="00B40C5E">
        <w:rPr>
          <w:rFonts w:ascii="Times New Roman" w:eastAsia="Times New Roman" w:hAnsi="Times New Roman" w:cs="Times New Roman"/>
          <w:color w:val="000000"/>
          <w:sz w:val="24"/>
          <w:szCs w:val="24"/>
          <w:lang/>
        </w:rPr>
        <w:t>In order to carry out a person-centered care planning approach, it is in order to first start with a person-centered assessment. This is achieved optimally through the use of the Roper-Logan-Tierney Model that carries out the assessment in the first stage through focusing on one patient and finding out adequate information specifically about their health status. Taking on a person-centered tactic in assessment is about who the patient is, what their needs are, goals and targets and how they intend to go about in pursuit accomplishing them. Just like in the Roper-Logan-Tierney Model, methods to the care planning and implementation all through all of the phases of the nursing procedure ought to be person centered and this is particularly so in the carrying out of an assessment. </w:t>
      </w:r>
    </w:p>
    <w:p w14:paraId="27592FEF" w14:textId="77777777" w:rsidR="00B40C5E" w:rsidRPr="00B40C5E" w:rsidRDefault="00B40C5E" w:rsidP="00B40C5E">
      <w:pPr>
        <w:spacing w:line="480" w:lineRule="auto"/>
        <w:ind w:firstLine="720"/>
        <w:rPr>
          <w:rFonts w:ascii="Times New Roman" w:eastAsia="Times New Roman" w:hAnsi="Times New Roman" w:cs="Times New Roman"/>
          <w:sz w:val="24"/>
          <w:szCs w:val="24"/>
          <w:lang/>
        </w:rPr>
      </w:pPr>
      <w:r w:rsidRPr="00B40C5E">
        <w:rPr>
          <w:rFonts w:ascii="Times New Roman" w:eastAsia="Times New Roman" w:hAnsi="Times New Roman" w:cs="Times New Roman"/>
          <w:color w:val="000000"/>
          <w:sz w:val="24"/>
          <w:szCs w:val="24"/>
          <w:lang/>
        </w:rPr>
        <w:t>A suitable data collection example would be a vital signs assessment to a patient that has just undergone a minor operation. This assessment revolves around the patient alone. At this point, there is no need to look into their family history or the affairs of any related or linked persons. The assessment of vital signs done is fully centered on the patient in question. This kind of assessment runs along the lines of checking the patient’s pulse rate, blood pressure, body temperature and respiration rate. In order to make this information useful, the results of the assessment have to be documented. </w:t>
      </w:r>
    </w:p>
    <w:p w14:paraId="2390A025" w14:textId="77777777" w:rsidR="00B40C5E" w:rsidRPr="00B40C5E" w:rsidRDefault="00B40C5E" w:rsidP="00B40C5E">
      <w:pPr>
        <w:spacing w:before="240" w:after="0" w:line="480" w:lineRule="auto"/>
        <w:outlineLvl w:val="0"/>
        <w:rPr>
          <w:rFonts w:ascii="Times New Roman" w:eastAsia="Times New Roman" w:hAnsi="Times New Roman" w:cs="Times New Roman"/>
          <w:b/>
          <w:bCs/>
          <w:kern w:val="36"/>
          <w:sz w:val="48"/>
          <w:szCs w:val="48"/>
          <w:lang/>
        </w:rPr>
      </w:pPr>
      <w:r w:rsidRPr="00B40C5E">
        <w:rPr>
          <w:rFonts w:ascii="Times New Roman" w:eastAsia="Times New Roman" w:hAnsi="Times New Roman" w:cs="Times New Roman"/>
          <w:b/>
          <w:bCs/>
          <w:color w:val="000000"/>
          <w:kern w:val="36"/>
          <w:sz w:val="40"/>
          <w:szCs w:val="40"/>
          <w:lang/>
        </w:rPr>
        <w:t>Patient Safety</w:t>
      </w:r>
    </w:p>
    <w:p w14:paraId="7E5C6761" w14:textId="77777777" w:rsidR="00B40C5E" w:rsidRPr="00B40C5E" w:rsidRDefault="00B40C5E" w:rsidP="00B40C5E">
      <w:pPr>
        <w:spacing w:line="480" w:lineRule="auto"/>
        <w:ind w:firstLine="720"/>
        <w:rPr>
          <w:rFonts w:ascii="Times New Roman" w:eastAsia="Times New Roman" w:hAnsi="Times New Roman" w:cs="Times New Roman"/>
          <w:sz w:val="24"/>
          <w:szCs w:val="24"/>
          <w:lang/>
        </w:rPr>
      </w:pPr>
      <w:r w:rsidRPr="00B40C5E">
        <w:rPr>
          <w:rFonts w:ascii="Times New Roman" w:eastAsia="Times New Roman" w:hAnsi="Times New Roman" w:cs="Times New Roman"/>
          <w:color w:val="000000"/>
          <w:sz w:val="24"/>
          <w:szCs w:val="24"/>
          <w:lang/>
        </w:rPr>
        <w:t xml:space="preserve">Breaches in communication have been pin pointed as the fundamental cause of most of significant patient safety violations and malpractice claims as well (Bernacki, 2014). These are </w:t>
      </w:r>
      <w:r w:rsidRPr="00B40C5E">
        <w:rPr>
          <w:rFonts w:ascii="Times New Roman" w:eastAsia="Times New Roman" w:hAnsi="Times New Roman" w:cs="Times New Roman"/>
          <w:color w:val="000000"/>
          <w:sz w:val="24"/>
          <w:szCs w:val="24"/>
          <w:lang/>
        </w:rPr>
        <w:lastRenderedPageBreak/>
        <w:t>inclusive of mistakes that could end up in grave situations like patient death. It is in order for nurses to exercise therapeutic communication skills. Nurses and health practitioners with the uppermost risk for complaints happened to be poor listeners. For such health practitioners, they show a shortcoming when it comes to getting back on phone calls and were tagged as rude or in some instances disrespectful to their patients. Through effective therapeutic communication skills, a nurse is able to attain admirable health outcomes, patient satisfaction as well as dutiful adherence to treatment. </w:t>
      </w:r>
    </w:p>
    <w:p w14:paraId="39F7006E" w14:textId="77777777" w:rsidR="00B40C5E" w:rsidRPr="00B40C5E" w:rsidRDefault="00B40C5E" w:rsidP="00B40C5E">
      <w:pPr>
        <w:spacing w:line="480" w:lineRule="auto"/>
        <w:ind w:firstLine="720"/>
        <w:rPr>
          <w:rFonts w:ascii="Times New Roman" w:eastAsia="Times New Roman" w:hAnsi="Times New Roman" w:cs="Times New Roman"/>
          <w:sz w:val="24"/>
          <w:szCs w:val="24"/>
          <w:lang/>
        </w:rPr>
      </w:pPr>
      <w:r w:rsidRPr="00B40C5E">
        <w:rPr>
          <w:rFonts w:ascii="Times New Roman" w:eastAsia="Times New Roman" w:hAnsi="Times New Roman" w:cs="Times New Roman"/>
          <w:color w:val="000000"/>
          <w:sz w:val="24"/>
          <w:szCs w:val="24"/>
          <w:lang/>
        </w:rPr>
        <w:t>Looking at the instance of carrying out a vital signs assessment, it is important for the nurse to relay correct information to the doctor in charge as well as relate the same to the patient if need be. Considering the vital signs include blood pressure, respiration rate, body temperature and pulse rate, for most of them, it is possible to regulate using input from the patient. After doing an assessment on vital signs, a nurses can go ahead and relay the concise results to the patient and advise accordingly on what they can do to make the situation better like rest more, eat heathy or keep warm. </w:t>
      </w:r>
    </w:p>
    <w:p w14:paraId="53D8501B" w14:textId="77777777" w:rsidR="00B40C5E" w:rsidRPr="00B40C5E" w:rsidRDefault="00B40C5E" w:rsidP="00B40C5E">
      <w:pPr>
        <w:spacing w:line="480" w:lineRule="auto"/>
        <w:ind w:firstLine="720"/>
        <w:rPr>
          <w:rFonts w:ascii="Times New Roman" w:eastAsia="Times New Roman" w:hAnsi="Times New Roman" w:cs="Times New Roman"/>
          <w:sz w:val="24"/>
          <w:szCs w:val="24"/>
          <w:lang/>
        </w:rPr>
      </w:pPr>
      <w:r w:rsidRPr="00B40C5E">
        <w:rPr>
          <w:rFonts w:ascii="Times New Roman" w:eastAsia="Times New Roman" w:hAnsi="Times New Roman" w:cs="Times New Roman"/>
          <w:color w:val="000000"/>
          <w:sz w:val="24"/>
          <w:szCs w:val="24"/>
          <w:lang/>
        </w:rPr>
        <w:t>With therapeutic communication skills, the communication channel involved is between the nurse carrying out the vital signs assessment and the patient. Vital signs are valuable in becoming aware of or observing medical complications. As noted before, some of the finalities of medical conditions like high blood pressure rest with the action that patient’s themselves take. In order to achieve this, the nurse has to make sure that they employ therapeutic communication skills in relating the information to the patients in a way that they can understand and be able to alter their health tendencies for the better. It is through instances like these that it becomes evident just how important therapeutic communication skills can be in ensuring patient safety and well-being. </w:t>
      </w:r>
    </w:p>
    <w:p w14:paraId="2C85F4FA" w14:textId="77777777" w:rsidR="00B40C5E" w:rsidRPr="00B40C5E" w:rsidRDefault="00B40C5E" w:rsidP="00B40C5E">
      <w:pPr>
        <w:spacing w:before="240" w:after="0" w:line="480" w:lineRule="auto"/>
        <w:outlineLvl w:val="0"/>
        <w:rPr>
          <w:rFonts w:ascii="Times New Roman" w:eastAsia="Times New Roman" w:hAnsi="Times New Roman" w:cs="Times New Roman"/>
          <w:b/>
          <w:bCs/>
          <w:kern w:val="36"/>
          <w:sz w:val="48"/>
          <w:szCs w:val="48"/>
          <w:lang/>
        </w:rPr>
      </w:pPr>
      <w:r w:rsidRPr="00B40C5E">
        <w:rPr>
          <w:rFonts w:ascii="Times New Roman" w:eastAsia="Times New Roman" w:hAnsi="Times New Roman" w:cs="Times New Roman"/>
          <w:b/>
          <w:bCs/>
          <w:color w:val="000000"/>
          <w:kern w:val="36"/>
          <w:sz w:val="40"/>
          <w:szCs w:val="40"/>
          <w:lang/>
        </w:rPr>
        <w:t>Conclusion</w:t>
      </w:r>
    </w:p>
    <w:p w14:paraId="2A13D424" w14:textId="77777777" w:rsidR="00B40C5E" w:rsidRPr="00B40C5E" w:rsidRDefault="00B40C5E" w:rsidP="00B40C5E">
      <w:pPr>
        <w:spacing w:line="480" w:lineRule="auto"/>
        <w:ind w:firstLine="720"/>
        <w:rPr>
          <w:rFonts w:ascii="Times New Roman" w:eastAsia="Times New Roman" w:hAnsi="Times New Roman" w:cs="Times New Roman"/>
          <w:sz w:val="24"/>
          <w:szCs w:val="24"/>
          <w:lang/>
        </w:rPr>
      </w:pPr>
      <w:r w:rsidRPr="00B40C5E">
        <w:rPr>
          <w:rFonts w:ascii="Times New Roman" w:eastAsia="Times New Roman" w:hAnsi="Times New Roman" w:cs="Times New Roman"/>
          <w:color w:val="000000"/>
          <w:sz w:val="24"/>
          <w:szCs w:val="24"/>
          <w:lang/>
        </w:rPr>
        <w:lastRenderedPageBreak/>
        <w:t>The Roper-Logan-Tierney Model for nursing has for important sections that help in improving patient care by ensuring the same is in line with personal needs. The model has provisions that make it possible for both the patient and the nurse as well to pin point existing and prospective health problems. The model has also shown its importance in making sure that nurses have the ability to adapt to a problem-solving method every time that they are faced with coming up with a care plan for patients and being centered on the patient. It has proved comprehensive and dynamic and for this reason has the ability to be applied in any field in the nursing profession. It is also characterized by the strength of coming out with a problem solving approach. However, it has a high susceptibility of being misunderstood. To add to that, its components are also prone to be assumed to have a restricted scope. The Roper-Logan-Tierney Model, is considered as a framework for health and social care valuation inclusive of risk assessment within a multifaceted, multi-disciplinary and most importantly a person-centered care planning process. Looking at it impact in nursing practice, it also influences therapeutic communication skills. Breaches in communication have been pin pointed as the fundamental cause of most of significant patient safety violations and malpractice claims as well. Conclusively, therapeutic communication skills can be in ensuring patient safety and well-being.</w:t>
      </w:r>
    </w:p>
    <w:p w14:paraId="55BE4131" w14:textId="77777777" w:rsidR="00B40C5E" w:rsidRPr="00B40C5E" w:rsidRDefault="00B40C5E" w:rsidP="00B40C5E">
      <w:pPr>
        <w:spacing w:before="240" w:after="0" w:line="480" w:lineRule="auto"/>
        <w:outlineLvl w:val="0"/>
        <w:rPr>
          <w:rFonts w:ascii="Times New Roman" w:eastAsia="Times New Roman" w:hAnsi="Times New Roman" w:cs="Times New Roman"/>
          <w:b/>
          <w:bCs/>
          <w:kern w:val="36"/>
          <w:sz w:val="48"/>
          <w:szCs w:val="48"/>
          <w:lang/>
        </w:rPr>
      </w:pPr>
      <w:r w:rsidRPr="00B40C5E">
        <w:rPr>
          <w:rFonts w:ascii="Times New Roman" w:eastAsia="Times New Roman" w:hAnsi="Times New Roman" w:cs="Times New Roman"/>
          <w:b/>
          <w:bCs/>
          <w:color w:val="000000"/>
          <w:kern w:val="36"/>
          <w:sz w:val="40"/>
          <w:szCs w:val="40"/>
          <w:lang/>
        </w:rPr>
        <w:t>References</w:t>
      </w:r>
    </w:p>
    <w:p w14:paraId="7ED7E604" w14:textId="77777777" w:rsidR="00B40C5E" w:rsidRPr="00B40C5E" w:rsidRDefault="00B40C5E" w:rsidP="00B40C5E">
      <w:pPr>
        <w:spacing w:line="480" w:lineRule="auto"/>
        <w:ind w:firstLine="850"/>
        <w:rPr>
          <w:rFonts w:ascii="Times New Roman" w:eastAsia="Times New Roman" w:hAnsi="Times New Roman" w:cs="Times New Roman"/>
          <w:sz w:val="24"/>
          <w:szCs w:val="24"/>
          <w:lang/>
        </w:rPr>
      </w:pPr>
      <w:r w:rsidRPr="00B40C5E">
        <w:rPr>
          <w:rFonts w:ascii="Times New Roman" w:eastAsia="Times New Roman" w:hAnsi="Times New Roman" w:cs="Times New Roman"/>
          <w:color w:val="000000"/>
          <w:sz w:val="24"/>
          <w:szCs w:val="24"/>
          <w:lang/>
        </w:rPr>
        <w:t xml:space="preserve">Aggleton, P. a. (2000). </w:t>
      </w:r>
      <w:r w:rsidRPr="00B40C5E">
        <w:rPr>
          <w:rFonts w:ascii="Times New Roman" w:eastAsia="Times New Roman" w:hAnsi="Times New Roman" w:cs="Times New Roman"/>
          <w:i/>
          <w:iCs/>
          <w:color w:val="000000"/>
          <w:sz w:val="24"/>
          <w:szCs w:val="24"/>
          <w:lang/>
        </w:rPr>
        <w:t>Nursing Models and Nursing Practice.</w:t>
      </w:r>
      <w:r w:rsidRPr="00B40C5E">
        <w:rPr>
          <w:rFonts w:ascii="Times New Roman" w:eastAsia="Times New Roman" w:hAnsi="Times New Roman" w:cs="Times New Roman"/>
          <w:color w:val="000000"/>
          <w:sz w:val="24"/>
          <w:szCs w:val="24"/>
          <w:lang/>
        </w:rPr>
        <w:t xml:space="preserve"> Basingstoke: Palgrave.</w:t>
      </w:r>
    </w:p>
    <w:p w14:paraId="3BA012E7" w14:textId="77777777" w:rsidR="00B40C5E" w:rsidRPr="00B40C5E" w:rsidRDefault="00B40C5E" w:rsidP="00B40C5E">
      <w:pPr>
        <w:spacing w:line="480" w:lineRule="auto"/>
        <w:ind w:firstLine="850"/>
        <w:rPr>
          <w:rFonts w:ascii="Times New Roman" w:eastAsia="Times New Roman" w:hAnsi="Times New Roman" w:cs="Times New Roman"/>
          <w:sz w:val="24"/>
          <w:szCs w:val="24"/>
          <w:lang/>
        </w:rPr>
      </w:pPr>
      <w:r w:rsidRPr="00B40C5E">
        <w:rPr>
          <w:rFonts w:ascii="Times New Roman" w:eastAsia="Times New Roman" w:hAnsi="Times New Roman" w:cs="Times New Roman"/>
          <w:color w:val="000000"/>
          <w:sz w:val="24"/>
          <w:szCs w:val="24"/>
          <w:lang/>
        </w:rPr>
        <w:t xml:space="preserve">Bernacki, R. E. (2014). American College of Physicians High Value Care Task Force. Communication about serious illness care goals: A review and synthesis of best practices. </w:t>
      </w:r>
      <w:r w:rsidRPr="00B40C5E">
        <w:rPr>
          <w:rFonts w:ascii="Times New Roman" w:eastAsia="Times New Roman" w:hAnsi="Times New Roman" w:cs="Times New Roman"/>
          <w:i/>
          <w:iCs/>
          <w:color w:val="000000"/>
          <w:sz w:val="24"/>
          <w:szCs w:val="24"/>
          <w:lang/>
        </w:rPr>
        <w:t>JAMA Internal Medicine</w:t>
      </w:r>
      <w:r w:rsidRPr="00B40C5E">
        <w:rPr>
          <w:rFonts w:ascii="Times New Roman" w:eastAsia="Times New Roman" w:hAnsi="Times New Roman" w:cs="Times New Roman"/>
          <w:color w:val="000000"/>
          <w:sz w:val="24"/>
          <w:szCs w:val="24"/>
          <w:lang/>
        </w:rPr>
        <w:t>, 1994-2003.</w:t>
      </w:r>
    </w:p>
    <w:p w14:paraId="0701EDAE" w14:textId="77777777" w:rsidR="00B40C5E" w:rsidRPr="00B40C5E" w:rsidRDefault="00B40C5E" w:rsidP="00B40C5E">
      <w:pPr>
        <w:spacing w:line="480" w:lineRule="auto"/>
        <w:ind w:firstLine="850"/>
        <w:rPr>
          <w:rFonts w:ascii="Times New Roman" w:eastAsia="Times New Roman" w:hAnsi="Times New Roman" w:cs="Times New Roman"/>
          <w:sz w:val="24"/>
          <w:szCs w:val="24"/>
          <w:lang/>
        </w:rPr>
      </w:pPr>
      <w:r w:rsidRPr="00B40C5E">
        <w:rPr>
          <w:rFonts w:ascii="Times New Roman" w:eastAsia="Times New Roman" w:hAnsi="Times New Roman" w:cs="Times New Roman"/>
          <w:color w:val="000000"/>
          <w:sz w:val="24"/>
          <w:szCs w:val="24"/>
          <w:lang/>
        </w:rPr>
        <w:t xml:space="preserve">Calkins, M. &amp;. (2016). Honoring individual choice in long-term residential communities when it involves risk: A person-centered approach. </w:t>
      </w:r>
      <w:r w:rsidRPr="00B40C5E">
        <w:rPr>
          <w:rFonts w:ascii="Times New Roman" w:eastAsia="Times New Roman" w:hAnsi="Times New Roman" w:cs="Times New Roman"/>
          <w:i/>
          <w:iCs/>
          <w:color w:val="000000"/>
          <w:sz w:val="24"/>
          <w:szCs w:val="24"/>
          <w:lang/>
        </w:rPr>
        <w:t>Journal of Gerontological Nursing</w:t>
      </w:r>
      <w:r w:rsidRPr="00B40C5E">
        <w:rPr>
          <w:rFonts w:ascii="Times New Roman" w:eastAsia="Times New Roman" w:hAnsi="Times New Roman" w:cs="Times New Roman"/>
          <w:color w:val="000000"/>
          <w:sz w:val="24"/>
          <w:szCs w:val="24"/>
          <w:lang/>
        </w:rPr>
        <w:t>, 12-17.</w:t>
      </w:r>
    </w:p>
    <w:p w14:paraId="7007E3CE" w14:textId="77777777" w:rsidR="00B40C5E" w:rsidRPr="00B40C5E" w:rsidRDefault="00B40C5E" w:rsidP="00B40C5E">
      <w:pPr>
        <w:spacing w:line="480" w:lineRule="auto"/>
        <w:ind w:firstLine="850"/>
        <w:rPr>
          <w:rFonts w:ascii="Times New Roman" w:eastAsia="Times New Roman" w:hAnsi="Times New Roman" w:cs="Times New Roman"/>
          <w:sz w:val="24"/>
          <w:szCs w:val="24"/>
          <w:lang/>
        </w:rPr>
      </w:pPr>
      <w:r w:rsidRPr="00B40C5E">
        <w:rPr>
          <w:rFonts w:ascii="Times New Roman" w:eastAsia="Times New Roman" w:hAnsi="Times New Roman" w:cs="Times New Roman"/>
          <w:color w:val="000000"/>
          <w:sz w:val="24"/>
          <w:szCs w:val="24"/>
          <w:lang/>
        </w:rPr>
        <w:lastRenderedPageBreak/>
        <w:t xml:space="preserve">Forchuk, C., Beaton, S., Crawford, L., Ide, L., Voorberg, N., &amp; Bethune, J. (1989). Incorporating Peplau’s theory and case management. </w:t>
      </w:r>
      <w:r w:rsidRPr="00B40C5E">
        <w:rPr>
          <w:rFonts w:ascii="Times New Roman" w:eastAsia="Times New Roman" w:hAnsi="Times New Roman" w:cs="Times New Roman"/>
          <w:i/>
          <w:iCs/>
          <w:color w:val="000000"/>
          <w:sz w:val="24"/>
          <w:szCs w:val="24"/>
          <w:lang/>
        </w:rPr>
        <w:t>Journal of Psychosocial Nursing and Mental Health Services</w:t>
      </w:r>
      <w:r w:rsidRPr="00B40C5E">
        <w:rPr>
          <w:rFonts w:ascii="Times New Roman" w:eastAsia="Times New Roman" w:hAnsi="Times New Roman" w:cs="Times New Roman"/>
          <w:color w:val="000000"/>
          <w:sz w:val="24"/>
          <w:szCs w:val="24"/>
          <w:lang/>
        </w:rPr>
        <w:t>, 35-38.</w:t>
      </w:r>
    </w:p>
    <w:p w14:paraId="79BB4D7E" w14:textId="77777777" w:rsidR="00B40C5E" w:rsidRPr="00B40C5E" w:rsidRDefault="00B40C5E" w:rsidP="00B40C5E">
      <w:pPr>
        <w:spacing w:line="480" w:lineRule="auto"/>
        <w:ind w:firstLine="850"/>
        <w:rPr>
          <w:rFonts w:ascii="Times New Roman" w:eastAsia="Times New Roman" w:hAnsi="Times New Roman" w:cs="Times New Roman"/>
          <w:sz w:val="24"/>
          <w:szCs w:val="24"/>
          <w:lang/>
        </w:rPr>
      </w:pPr>
      <w:r w:rsidRPr="00B40C5E">
        <w:rPr>
          <w:rFonts w:ascii="Times New Roman" w:eastAsia="Times New Roman" w:hAnsi="Times New Roman" w:cs="Times New Roman"/>
          <w:color w:val="000000"/>
          <w:sz w:val="24"/>
          <w:szCs w:val="24"/>
          <w:lang/>
        </w:rPr>
        <w:t xml:space="preserve">N., R., W.W., L., &amp; A.J., T. (1980). </w:t>
      </w:r>
      <w:r w:rsidRPr="00B40C5E">
        <w:rPr>
          <w:rFonts w:ascii="Times New Roman" w:eastAsia="Times New Roman" w:hAnsi="Times New Roman" w:cs="Times New Roman"/>
          <w:i/>
          <w:iCs/>
          <w:color w:val="000000"/>
          <w:sz w:val="24"/>
          <w:szCs w:val="24"/>
          <w:lang/>
        </w:rPr>
        <w:t>The Elements of Nursing.</w:t>
      </w:r>
      <w:r w:rsidRPr="00B40C5E">
        <w:rPr>
          <w:rFonts w:ascii="Times New Roman" w:eastAsia="Times New Roman" w:hAnsi="Times New Roman" w:cs="Times New Roman"/>
          <w:color w:val="000000"/>
          <w:sz w:val="24"/>
          <w:szCs w:val="24"/>
          <w:lang/>
        </w:rPr>
        <w:t xml:space="preserve"> New York: Churchill Livingstone.</w:t>
      </w:r>
    </w:p>
    <w:p w14:paraId="2198DE20" w14:textId="77777777" w:rsidR="00B40C5E" w:rsidRPr="00B40C5E" w:rsidRDefault="00B40C5E" w:rsidP="00B40C5E">
      <w:pPr>
        <w:spacing w:line="480" w:lineRule="auto"/>
        <w:ind w:firstLine="850"/>
        <w:rPr>
          <w:rFonts w:ascii="Times New Roman" w:eastAsia="Times New Roman" w:hAnsi="Times New Roman" w:cs="Times New Roman"/>
          <w:sz w:val="24"/>
          <w:szCs w:val="24"/>
          <w:lang/>
        </w:rPr>
      </w:pPr>
      <w:r w:rsidRPr="00B40C5E">
        <w:rPr>
          <w:rFonts w:ascii="Times New Roman" w:eastAsia="Times New Roman" w:hAnsi="Times New Roman" w:cs="Times New Roman"/>
          <w:color w:val="000000"/>
          <w:sz w:val="24"/>
          <w:szCs w:val="24"/>
          <w:lang/>
        </w:rPr>
        <w:t xml:space="preserve">Timmins, F., &amp; O'Shea, J. (2004). The Roper–Logan–Tierney (1996) model of nursing as a tool for professional development in education. </w:t>
      </w:r>
      <w:r w:rsidRPr="00B40C5E">
        <w:rPr>
          <w:rFonts w:ascii="Times New Roman" w:eastAsia="Times New Roman" w:hAnsi="Times New Roman" w:cs="Times New Roman"/>
          <w:i/>
          <w:iCs/>
          <w:color w:val="000000"/>
          <w:sz w:val="24"/>
          <w:szCs w:val="24"/>
          <w:lang/>
        </w:rPr>
        <w:t>Nurse Education in Practice</w:t>
      </w:r>
      <w:r w:rsidRPr="00B40C5E">
        <w:rPr>
          <w:rFonts w:ascii="Times New Roman" w:eastAsia="Times New Roman" w:hAnsi="Times New Roman" w:cs="Times New Roman"/>
          <w:color w:val="000000"/>
          <w:sz w:val="24"/>
          <w:szCs w:val="24"/>
          <w:lang/>
        </w:rPr>
        <w:t>, 159–167.</w:t>
      </w:r>
    </w:p>
    <w:p w14:paraId="5F5644EC" w14:textId="77777777" w:rsidR="002D3D02" w:rsidRDefault="002D3D02"/>
    <w:sectPr w:rsidR="002D3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C1E3D"/>
    <w:multiLevelType w:val="multilevel"/>
    <w:tmpl w:val="968A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B6B"/>
    <w:rsid w:val="002D3D02"/>
    <w:rsid w:val="009E6B6B"/>
    <w:rsid w:val="00B40C5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46B85-E81E-49DD-BA67-04673F8D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40C5E"/>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0C5E"/>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B40C5E"/>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52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1789</Words>
  <Characters>10201</Characters>
  <Application>Microsoft Office Word</Application>
  <DocSecurity>0</DocSecurity>
  <Lines>85</Lines>
  <Paragraphs>23</Paragraphs>
  <ScaleCrop>false</ScaleCrop>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2023-01-26T11:06:00Z</dcterms:created>
  <dcterms:modified xsi:type="dcterms:W3CDTF">2023-01-26T11:06:00Z</dcterms:modified>
</cp:coreProperties>
</file>