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940A9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Case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Study</w:t>
      </w:r>
      <w:proofErr w:type="spellEnd"/>
    </w:p>
    <w:p w14:paraId="01A259FB" w14:textId="77777777" w:rsidR="002F4C93" w:rsidRDefault="002F4C93" w:rsidP="002F4C93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Assessment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4C62A9B4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both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suffering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 (ADHD).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result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norepinephrine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neurotransmitter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appreciated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neurotransmitter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wakefulness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getting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taught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Spangenberg</w:t>
      </w:r>
      <w:proofErr w:type="spellEnd"/>
      <w:r>
        <w:rPr>
          <w:color w:val="000000"/>
        </w:rPr>
        <w:t xml:space="preserve">, 2017).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ADHD, </w:t>
      </w: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likelihood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concerns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concentrating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history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teenage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needed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standard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self-report</w:t>
      </w:r>
      <w:proofErr w:type="spellEnd"/>
      <w:r>
        <w:rPr>
          <w:color w:val="000000"/>
        </w:rPr>
        <w:t xml:space="preserve"> ADHD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psychiatric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physician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Alsalamah</w:t>
      </w:r>
      <w:proofErr w:type="spellEnd"/>
      <w:r>
        <w:rPr>
          <w:color w:val="000000"/>
        </w:rPr>
        <w:t>, 2017). </w:t>
      </w:r>
    </w:p>
    <w:p w14:paraId="00154F17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both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student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adequate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oxygen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wakefulness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hemoglobin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anemia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Mild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foods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iron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vitamin</w:t>
      </w:r>
      <w:proofErr w:type="spellEnd"/>
      <w:r>
        <w:rPr>
          <w:color w:val="000000"/>
        </w:rPr>
        <w:t xml:space="preserve"> B12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erythropoiesis</w:t>
      </w:r>
      <w:proofErr w:type="spellEnd"/>
      <w:r>
        <w:rPr>
          <w:color w:val="000000"/>
        </w:rPr>
        <w:t>.  </w:t>
      </w:r>
    </w:p>
    <w:p w14:paraId="4C87C520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both"/>
      </w:pP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nutrition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. 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anthropometric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measurements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assessing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protein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micronutrients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Schnoll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Burshteyn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Cea-Aravena</w:t>
      </w:r>
      <w:proofErr w:type="spellEnd"/>
      <w:r>
        <w:rPr>
          <w:color w:val="000000"/>
        </w:rPr>
        <w:t xml:space="preserve">, 2003).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composition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necessary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dietary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intake</w:t>
      </w:r>
      <w:proofErr w:type="spellEnd"/>
      <w:r>
        <w:rPr>
          <w:color w:val="000000"/>
        </w:rPr>
        <w:t>.</w:t>
      </w:r>
    </w:p>
    <w:p w14:paraId="0FA23711" w14:textId="77777777" w:rsidR="002F4C93" w:rsidRDefault="002F4C93" w:rsidP="002F4C93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Pharmacological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5D275181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both"/>
      </w:pPr>
      <w:proofErr w:type="spellStart"/>
      <w:r>
        <w:rPr>
          <w:color w:val="000000"/>
        </w:rPr>
        <w:lastRenderedPageBreak/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depends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findings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assessment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anemia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hematinic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replenish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blood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prescribing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feeding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erythropoiesis</w:t>
      </w:r>
      <w:proofErr w:type="spellEnd"/>
      <w:r>
        <w:rPr>
          <w:color w:val="000000"/>
        </w:rPr>
        <w:t>. </w:t>
      </w:r>
    </w:p>
    <w:p w14:paraId="486EA2E5" w14:textId="77777777" w:rsidR="002F4C93" w:rsidRDefault="002F4C93" w:rsidP="002F4C93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Non-pharmacological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576C0DA5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both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background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birth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trauma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especially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injury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assault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drunkard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underfeeding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domestic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violence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Shukla</w:t>
      </w:r>
      <w:proofErr w:type="spellEnd"/>
      <w:r>
        <w:rPr>
          <w:color w:val="000000"/>
        </w:rPr>
        <w:t xml:space="preserve">, 2018)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depression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underfeeding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psychosocial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issues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huge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</w:t>
      </w:r>
      <w:proofErr w:type="spellEnd"/>
      <w:r>
        <w:rPr>
          <w:color w:val="000000"/>
        </w:rPr>
        <w:t>. </w:t>
      </w:r>
    </w:p>
    <w:p w14:paraId="675466B4" w14:textId="77777777" w:rsidR="002F4C93" w:rsidRDefault="002F4C93" w:rsidP="002F4C93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Referral</w:t>
      </w:r>
      <w:proofErr w:type="spellEnd"/>
    </w:p>
    <w:p w14:paraId="2BF4F995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both"/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Hyperactive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doubted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further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screening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psychiatric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specialist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psychotherapist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counselor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Shukla</w:t>
      </w:r>
      <w:proofErr w:type="spellEnd"/>
      <w:r>
        <w:rPr>
          <w:color w:val="000000"/>
        </w:rPr>
        <w:t>, 2018).  </w:t>
      </w:r>
    </w:p>
    <w:p w14:paraId="70179C12" w14:textId="77777777" w:rsidR="002F4C93" w:rsidRDefault="002F4C93" w:rsidP="002F4C93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Health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Promotion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Strategy</w:t>
      </w:r>
      <w:proofErr w:type="spellEnd"/>
    </w:p>
    <w:p w14:paraId="54CB61AA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both"/>
      </w:pP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nutrition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Educating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jovial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family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Encouraging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screening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>. </w:t>
      </w:r>
    </w:p>
    <w:p w14:paraId="196E8BCE" w14:textId="77777777" w:rsidR="002F4C93" w:rsidRDefault="002F4C93" w:rsidP="002F4C93">
      <w:pPr>
        <w:pStyle w:val="a3"/>
        <w:spacing w:before="0" w:beforeAutospacing="0" w:after="20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40F61788" w14:textId="77777777" w:rsidR="002F4C93" w:rsidRDefault="002F4C93" w:rsidP="002F4C93">
      <w:pPr>
        <w:pStyle w:val="a3"/>
        <w:spacing w:before="0" w:beforeAutospacing="0" w:after="200" w:afterAutospacing="0" w:line="480" w:lineRule="auto"/>
        <w:ind w:firstLine="992"/>
        <w:jc w:val="both"/>
      </w:pPr>
      <w:proofErr w:type="spellStart"/>
      <w:r>
        <w:rPr>
          <w:color w:val="000000"/>
        </w:rPr>
        <w:t>Centers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Prevention</w:t>
      </w:r>
      <w:proofErr w:type="spellEnd"/>
      <w:r>
        <w:rPr>
          <w:color w:val="000000"/>
        </w:rPr>
        <w:t xml:space="preserve">. (2013). </w:t>
      </w:r>
      <w:proofErr w:type="spellStart"/>
      <w:r>
        <w:rPr>
          <w:color w:val="000000"/>
        </w:rPr>
        <w:t>Youth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surveillance</w:t>
      </w:r>
      <w:proofErr w:type="spellEnd"/>
    </w:p>
    <w:p w14:paraId="3BF19100" w14:textId="77777777" w:rsidR="002F4C93" w:rsidRDefault="002F4C93" w:rsidP="002F4C93">
      <w:pPr>
        <w:pStyle w:val="a3"/>
        <w:spacing w:before="0" w:beforeAutospacing="0" w:after="200" w:afterAutospacing="0" w:line="480" w:lineRule="auto"/>
        <w:jc w:val="both"/>
      </w:pP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(YRBSS).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hyperlink r:id="rId4" w:history="1">
        <w:r>
          <w:rPr>
            <w:rStyle w:val="a4"/>
          </w:rPr>
          <w:t>http://www.cdc.gov/healthyyouth/data/yrbs/index.htm</w:t>
        </w:r>
      </w:hyperlink>
    </w:p>
    <w:p w14:paraId="3D54899D" w14:textId="77777777" w:rsidR="002F4C93" w:rsidRDefault="002F4C93" w:rsidP="002F4C93">
      <w:pPr>
        <w:pStyle w:val="a3"/>
        <w:spacing w:before="0" w:beforeAutospacing="0" w:after="200" w:afterAutospacing="0" w:line="480" w:lineRule="auto"/>
        <w:ind w:firstLine="992"/>
        <w:jc w:val="both"/>
      </w:pPr>
      <w:proofErr w:type="spellStart"/>
      <w:r>
        <w:rPr>
          <w:color w:val="000000"/>
        </w:rPr>
        <w:lastRenderedPageBreak/>
        <w:t>Spangenberg</w:t>
      </w:r>
      <w:proofErr w:type="spellEnd"/>
      <w:r>
        <w:rPr>
          <w:color w:val="000000"/>
        </w:rPr>
        <w:t xml:space="preserve">, E. D. (2017). </w:t>
      </w:r>
      <w:proofErr w:type="spellStart"/>
      <w:r>
        <w:rPr>
          <w:color w:val="000000"/>
        </w:rPr>
        <w:t>Comparing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Mathematics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Attention-Deficit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South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African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, 37(3),</w:t>
      </w:r>
    </w:p>
    <w:p w14:paraId="6F3012FD" w14:textId="77777777" w:rsidR="002F4C93" w:rsidRDefault="002F4C93" w:rsidP="002F4C93">
      <w:pPr>
        <w:pStyle w:val="a3"/>
        <w:spacing w:before="0" w:beforeAutospacing="0" w:after="200" w:afterAutospacing="0" w:line="480" w:lineRule="auto"/>
        <w:ind w:firstLine="992"/>
        <w:jc w:val="both"/>
      </w:pPr>
      <w:proofErr w:type="spellStart"/>
      <w:r>
        <w:rPr>
          <w:color w:val="000000"/>
        </w:rPr>
        <w:t>Alsalamah</w:t>
      </w:r>
      <w:proofErr w:type="spellEnd"/>
      <w:r>
        <w:rPr>
          <w:color w:val="000000"/>
        </w:rPr>
        <w:t xml:space="preserve">, A. (2017).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Self-Monitoring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Journal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>, 8(14), 118-125</w:t>
      </w:r>
    </w:p>
    <w:p w14:paraId="225574A4" w14:textId="77777777" w:rsidR="002F4C93" w:rsidRDefault="002F4C93" w:rsidP="002F4C93">
      <w:pPr>
        <w:pStyle w:val="a3"/>
        <w:spacing w:before="0" w:beforeAutospacing="0" w:after="200" w:afterAutospacing="0" w:line="480" w:lineRule="auto"/>
        <w:ind w:firstLine="992"/>
        <w:jc w:val="both"/>
      </w:pPr>
      <w:proofErr w:type="spellStart"/>
      <w:r>
        <w:rPr>
          <w:color w:val="000000"/>
        </w:rPr>
        <w:t>Shukla</w:t>
      </w:r>
      <w:proofErr w:type="spellEnd"/>
      <w:r>
        <w:rPr>
          <w:color w:val="000000"/>
        </w:rPr>
        <w:t xml:space="preserve">, A. (2018).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counselling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Indian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Wellbeing</w:t>
      </w:r>
      <w:proofErr w:type="spellEnd"/>
      <w:r>
        <w:rPr>
          <w:color w:val="000000"/>
        </w:rPr>
        <w:t>, 9(2), 276-279</w:t>
      </w:r>
    </w:p>
    <w:p w14:paraId="43686D74" w14:textId="77777777" w:rsidR="002F4C93" w:rsidRDefault="002F4C93" w:rsidP="002F4C93">
      <w:pPr>
        <w:pStyle w:val="a3"/>
        <w:spacing w:before="0" w:beforeAutospacing="0" w:after="200" w:afterAutospacing="0" w:line="480" w:lineRule="auto"/>
        <w:ind w:firstLine="992"/>
        <w:jc w:val="both"/>
      </w:pPr>
      <w:proofErr w:type="spellStart"/>
      <w:r>
        <w:rPr>
          <w:color w:val="000000"/>
        </w:rPr>
        <w:t>Schnoll</w:t>
      </w:r>
      <w:proofErr w:type="spellEnd"/>
      <w:r>
        <w:rPr>
          <w:color w:val="000000"/>
        </w:rPr>
        <w:t xml:space="preserve">, R., </w:t>
      </w:r>
      <w:proofErr w:type="spellStart"/>
      <w:r>
        <w:rPr>
          <w:color w:val="000000"/>
        </w:rPr>
        <w:t>Burshteyn</w:t>
      </w:r>
      <w:proofErr w:type="spellEnd"/>
      <w:r>
        <w:rPr>
          <w:color w:val="000000"/>
        </w:rPr>
        <w:t xml:space="preserve">, D., &amp; </w:t>
      </w:r>
      <w:proofErr w:type="spellStart"/>
      <w:r>
        <w:rPr>
          <w:color w:val="000000"/>
        </w:rPr>
        <w:t>Cea-Aravena</w:t>
      </w:r>
      <w:proofErr w:type="spellEnd"/>
      <w:r>
        <w:rPr>
          <w:color w:val="000000"/>
        </w:rPr>
        <w:t xml:space="preserve">, J. (2003). </w:t>
      </w:r>
      <w:proofErr w:type="spellStart"/>
      <w:r>
        <w:rPr>
          <w:color w:val="000000"/>
        </w:rPr>
        <w:t>Nutrition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Attention-Deficit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Neglected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Important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Aspect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Applied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Psychophysiology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Biofeedback</w:t>
      </w:r>
      <w:proofErr w:type="spellEnd"/>
      <w:r>
        <w:rPr>
          <w:color w:val="000000"/>
        </w:rPr>
        <w:t>, 28(1), 63-75.</w:t>
      </w:r>
    </w:p>
    <w:p w14:paraId="394B2899" w14:textId="77777777" w:rsidR="00362F92" w:rsidRDefault="00362F92"/>
    <w:sectPr w:rsidR="0036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9B"/>
    <w:rsid w:val="002F4C93"/>
    <w:rsid w:val="00362F92"/>
    <w:rsid w:val="0061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54476-A8FD-4397-99A8-50BEDF76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Hyperlink"/>
    <w:basedOn w:val="a0"/>
    <w:uiPriority w:val="99"/>
    <w:semiHidden/>
    <w:unhideWhenUsed/>
    <w:rsid w:val="002F4C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7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/healthyyouth/data/yrbs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2023-02-24T13:33:00Z</dcterms:created>
  <dcterms:modified xsi:type="dcterms:W3CDTF">2023-02-24T13:34:00Z</dcterms:modified>
</cp:coreProperties>
</file>