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AEE0CC" w14:textId="77777777" w:rsidR="00CB15FD" w:rsidRDefault="00CB15FD" w:rsidP="00CB15FD">
      <w:pPr>
        <w:pStyle w:val="a3"/>
        <w:spacing w:before="0" w:beforeAutospacing="0" w:after="0" w:afterAutospacing="0" w:line="480" w:lineRule="auto"/>
        <w:jc w:val="center"/>
      </w:pPr>
      <w:proofErr w:type="spellStart"/>
      <w:r>
        <w:rPr>
          <w:b/>
          <w:bCs/>
          <w:color w:val="000000"/>
          <w:sz w:val="48"/>
          <w:szCs w:val="48"/>
        </w:rPr>
        <w:t>Pathophysiology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and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Pharmacological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Management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of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Parkinson’s</w:t>
      </w:r>
      <w:proofErr w:type="spellEnd"/>
      <w:r>
        <w:rPr>
          <w:b/>
          <w:bCs/>
          <w:color w:val="000000"/>
          <w:sz w:val="48"/>
          <w:szCs w:val="48"/>
        </w:rPr>
        <w:t xml:space="preserve"> </w:t>
      </w:r>
      <w:proofErr w:type="spellStart"/>
      <w:r>
        <w:rPr>
          <w:b/>
          <w:bCs/>
          <w:color w:val="000000"/>
          <w:sz w:val="48"/>
          <w:szCs w:val="48"/>
        </w:rPr>
        <w:t>Disease</w:t>
      </w:r>
      <w:proofErr w:type="spellEnd"/>
    </w:p>
    <w:p w14:paraId="15F2EF9E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Introduction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23DF3D78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produces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chemical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messenger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transmits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facilitate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coordination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example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corpus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regulation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striatium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incapable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Nevertheless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unknown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combination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environmental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Greenamyre</w:t>
      </w:r>
      <w:proofErr w:type="spellEnd"/>
      <w:r>
        <w:rPr>
          <w:color w:val="000000"/>
        </w:rPr>
        <w:t xml:space="preserve"> (2013),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dorsal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vagus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olfactory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bulbs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locus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coeruleus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third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sunstantia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Damage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progresses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multifaceted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impairments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cognitive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neuropsychological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Kwan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Whitehill</w:t>
      </w:r>
      <w:proofErr w:type="spellEnd"/>
      <w:r>
        <w:rPr>
          <w:color w:val="000000"/>
        </w:rPr>
        <w:t xml:space="preserve">, 2011).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paper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discuss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>.  </w:t>
      </w:r>
    </w:p>
    <w:p w14:paraId="4645D97E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Pathophysiology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Parkinson’s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Disease</w:t>
      </w:r>
      <w:proofErr w:type="spellEnd"/>
    </w:p>
    <w:p w14:paraId="00B599C2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lastRenderedPageBreak/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ganglia</w:t>
      </w:r>
      <w:proofErr w:type="spellEnd"/>
      <w:r>
        <w:rPr>
          <w:color w:val="000000"/>
        </w:rPr>
        <w:t xml:space="preserve"> (BG),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plays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role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BG </w:t>
      </w:r>
      <w:proofErr w:type="spellStart"/>
      <w:r>
        <w:rPr>
          <w:color w:val="000000"/>
        </w:rPr>
        <w:t>comprises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putamen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accumbens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global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pallidus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subthalamic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nucleus</w:t>
      </w:r>
      <w:proofErr w:type="spellEnd"/>
      <w:r>
        <w:rPr>
          <w:color w:val="000000"/>
        </w:rPr>
        <w:t xml:space="preserve"> (STN).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global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pallidus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segment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GPi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segment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GPe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reticulate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SNr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compacta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SNc</w:t>
      </w:r>
      <w:proofErr w:type="spellEnd"/>
      <w:r>
        <w:rPr>
          <w:color w:val="000000"/>
        </w:rPr>
        <w:t>) (</w:t>
      </w:r>
      <w:proofErr w:type="spellStart"/>
      <w:r>
        <w:rPr>
          <w:color w:val="000000"/>
        </w:rPr>
        <w:t>Benazzouz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2014). </w:t>
      </w:r>
    </w:p>
    <w:p w14:paraId="51D858EE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receives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inputs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cerebral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cortex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BG.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GPi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regions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connected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matrix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comprises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striosomal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reticulate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SNr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gamma-aminobutryric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acid</w:t>
      </w:r>
      <w:proofErr w:type="spellEnd"/>
      <w:r>
        <w:rPr>
          <w:color w:val="000000"/>
        </w:rPr>
        <w:t xml:space="preserve"> (GABA)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neurotransmitter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BG’s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circuit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excitatory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glutamate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neurotransmitter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STN.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neurotransmitter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compacta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asserts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supersede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BG,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hypokinetic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indirect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interfere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onset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Olanow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Stocchi</w:t>
      </w:r>
      <w:proofErr w:type="spellEnd"/>
      <w:r>
        <w:rPr>
          <w:color w:val="000000"/>
        </w:rPr>
        <w:t xml:space="preserve">, &amp; </w:t>
      </w:r>
      <w:proofErr w:type="spellStart"/>
      <w:r>
        <w:rPr>
          <w:color w:val="000000"/>
        </w:rPr>
        <w:t>Lang</w:t>
      </w:r>
      <w:proofErr w:type="spellEnd"/>
      <w:r>
        <w:rPr>
          <w:color w:val="000000"/>
        </w:rPr>
        <w:t xml:space="preserve">, 2011).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ganglia</w:t>
      </w:r>
      <w:proofErr w:type="spellEnd"/>
      <w:r>
        <w:rPr>
          <w:color w:val="000000"/>
        </w:rPr>
        <w:t>.</w:t>
      </w:r>
    </w:p>
    <w:p w14:paraId="73D877CD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subsequent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SNc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project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putamen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striatum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commencement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appear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significant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nigrostriatal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neurons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Benazzouz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 xml:space="preserve">. (2014),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least</w:t>
      </w:r>
      <w:proofErr w:type="spellEnd"/>
      <w:r>
        <w:rPr>
          <w:color w:val="000000"/>
        </w:rPr>
        <w:t xml:space="preserve"> 70%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triggers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Reduction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density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dendritic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spines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MSNs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morphological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Benazzouz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</w:t>
      </w:r>
      <w:proofErr w:type="spellEnd"/>
      <w:r>
        <w:rPr>
          <w:color w:val="000000"/>
        </w:rPr>
        <w:t>., 2014). </w:t>
      </w:r>
    </w:p>
    <w:p w14:paraId="5278FADE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lastRenderedPageBreak/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assessed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general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practitioner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“</w:t>
      </w:r>
      <w:proofErr w:type="spellStart"/>
      <w:r>
        <w:rPr>
          <w:color w:val="000000"/>
        </w:rPr>
        <w:t>bradykinesia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gaze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limitations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directions</w:t>
      </w:r>
      <w:proofErr w:type="spellEnd"/>
      <w:r>
        <w:rPr>
          <w:color w:val="000000"/>
        </w:rPr>
        <w:t xml:space="preserve">), a </w:t>
      </w:r>
      <w:proofErr w:type="spellStart"/>
      <w:r>
        <w:rPr>
          <w:color w:val="000000"/>
        </w:rPr>
        <w:t>persistent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unilateral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shuffling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gait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swing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limb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pipe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but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cogwheel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wrists</w:t>
      </w:r>
      <w:proofErr w:type="spellEnd"/>
      <w:r>
        <w:rPr>
          <w:color w:val="000000"/>
        </w:rPr>
        <w:t>” (</w:t>
      </w:r>
      <w:proofErr w:type="spellStart"/>
      <w:r>
        <w:rPr>
          <w:color w:val="000000"/>
        </w:rPr>
        <w:t>Bullock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Hales</w:t>
      </w:r>
      <w:proofErr w:type="spellEnd"/>
      <w:r>
        <w:rPr>
          <w:color w:val="000000"/>
        </w:rPr>
        <w:t xml:space="preserve">, 2012, p. 188).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claims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chocks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coughs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meals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indication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swallowing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Wellstead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Cloutier</w:t>
      </w:r>
      <w:proofErr w:type="spellEnd"/>
      <w:r>
        <w:rPr>
          <w:color w:val="000000"/>
        </w:rPr>
        <w:t>, 2012).</w:t>
      </w:r>
    </w:p>
    <w:p w14:paraId="063CF92F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Bradykinesia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refers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brady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meaning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whereas</w:t>
      </w:r>
      <w:proofErr w:type="spellEnd"/>
      <w:r>
        <w:rPr>
          <w:color w:val="000000"/>
        </w:rPr>
        <w:t xml:space="preserve"> ‘</w:t>
      </w:r>
      <w:proofErr w:type="spellStart"/>
      <w:r>
        <w:rPr>
          <w:color w:val="000000"/>
        </w:rPr>
        <w:t>kinesia</w:t>
      </w:r>
      <w:proofErr w:type="spellEnd"/>
      <w:r>
        <w:rPr>
          <w:color w:val="000000"/>
        </w:rPr>
        <w:t xml:space="preserve">’ </w:t>
      </w:r>
      <w:proofErr w:type="spellStart"/>
      <w:r>
        <w:rPr>
          <w:color w:val="000000"/>
        </w:rPr>
        <w:t>relates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Bradykinesia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just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whole-body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slowness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impair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affected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rapid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alternating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hand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fingers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feet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situation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progressive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amplitude</w:t>
      </w:r>
      <w:proofErr w:type="spellEnd"/>
      <w:r>
        <w:rPr>
          <w:color w:val="000000"/>
        </w:rPr>
        <w:t xml:space="preserve"> </w:t>
      </w:r>
      <w:r>
        <w:rPr>
          <w:b/>
          <w:bCs/>
          <w:color w:val="000000"/>
        </w:rPr>
        <w:t>(</w:t>
      </w:r>
      <w:proofErr w:type="spellStart"/>
      <w:r>
        <w:rPr>
          <w:color w:val="000000"/>
        </w:rPr>
        <w:t>Schulz-Schaeffer</w:t>
      </w:r>
      <w:proofErr w:type="spellEnd"/>
      <w:r>
        <w:rPr>
          <w:color w:val="000000"/>
        </w:rPr>
        <w:t xml:space="preserve">, 2015). </w:t>
      </w:r>
      <w:proofErr w:type="spellStart"/>
      <w:r>
        <w:rPr>
          <w:color w:val="000000"/>
        </w:rPr>
        <w:t>Bradykinesia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exhibited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cranially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through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expression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reduced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frequency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blinking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decreased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walking</w:t>
      </w:r>
      <w:proofErr w:type="spellEnd"/>
      <w:r>
        <w:rPr>
          <w:color w:val="000000"/>
        </w:rPr>
        <w:t>. </w:t>
      </w:r>
    </w:p>
    <w:p w14:paraId="6C302E14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Bradykinesia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cardinal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understood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output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ganglia</w:t>
      </w:r>
      <w:proofErr w:type="spellEnd"/>
      <w:r>
        <w:rPr>
          <w:color w:val="000000"/>
        </w:rPr>
        <w:t xml:space="preserve"> (BG)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reinforce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mechanisms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comprise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execution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Inadequate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preparation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manifested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compared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slower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premovement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excitability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implies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stored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motor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commands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abnormal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retrieval</w:t>
      </w:r>
      <w:proofErr w:type="spellEnd"/>
      <w:r>
        <w:rPr>
          <w:color w:val="000000"/>
        </w:rPr>
        <w:t>. </w:t>
      </w:r>
    </w:p>
    <w:p w14:paraId="0F64A357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occurs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lead-pipe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cogwheel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wrists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Schulz-Schaeffer</w:t>
      </w:r>
      <w:proofErr w:type="spellEnd"/>
      <w:r>
        <w:rPr>
          <w:color w:val="000000"/>
        </w:rPr>
        <w:t xml:space="preserve"> (2015),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greater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flexor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extensor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stretching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stretching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Cogwheel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experiencing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presence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both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</w:t>
      </w:r>
      <w:proofErr w:type="spellEnd"/>
      <w:r>
        <w:rPr>
          <w:color w:val="000000"/>
        </w:rPr>
        <w:t>. </w:t>
      </w:r>
    </w:p>
    <w:p w14:paraId="22DAEDA4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r>
        <w:rPr>
          <w:color w:val="000000"/>
        </w:rPr>
        <w:lastRenderedPageBreak/>
        <w:t xml:space="preserve">MR.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diagnosed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changes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properties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tendons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joints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enhancement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stretch-evoked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reflexes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supraspinal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segmental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spinal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Abnormalities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peripheral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sensory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inputs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stretch</w:t>
      </w:r>
      <w:proofErr w:type="spellEnd"/>
      <w:r>
        <w:rPr>
          <w:color w:val="000000"/>
        </w:rPr>
        <w:t>. </w:t>
      </w:r>
    </w:p>
    <w:p w14:paraId="43DB666C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Mr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Drew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According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Suttrup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Warnecke</w:t>
      </w:r>
      <w:proofErr w:type="spellEnd"/>
      <w:r>
        <w:rPr>
          <w:color w:val="000000"/>
        </w:rPr>
        <w:t xml:space="preserve"> (2016), 80%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reduced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quality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life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makes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difficult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swallow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medication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malnutrition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aspiration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pneumonia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understood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thought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defect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cortical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swallowing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network’s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non-dopaminergic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mechanisms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peripheral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neuromuscular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major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multifactorial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genesis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Suttrup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Warnecke</w:t>
      </w:r>
      <w:proofErr w:type="spellEnd"/>
      <w:r>
        <w:rPr>
          <w:color w:val="000000"/>
        </w:rPr>
        <w:t>, 2016). </w:t>
      </w:r>
    </w:p>
    <w:p w14:paraId="52F51FC4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Pharmacological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Management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of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Parkinson’s</w:t>
      </w:r>
      <w:proofErr w:type="spellEnd"/>
      <w:r>
        <w:rPr>
          <w:b/>
          <w:bCs/>
          <w:color w:val="000000"/>
          <w:sz w:val="40"/>
          <w:szCs w:val="40"/>
        </w:rPr>
        <w:t xml:space="preserve"> </w:t>
      </w:r>
      <w:proofErr w:type="spellStart"/>
      <w:r>
        <w:rPr>
          <w:b/>
          <w:bCs/>
          <w:color w:val="000000"/>
          <w:sz w:val="40"/>
          <w:szCs w:val="40"/>
        </w:rPr>
        <w:t>Disease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20D07693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r>
        <w:rPr>
          <w:rStyle w:val="apple-tab-span"/>
          <w:color w:val="000000"/>
        </w:rPr>
        <w:tab/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classified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non-pharmacologic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surgical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variety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wider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considered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during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stage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signs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functional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disability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degeneration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fibers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excessive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Bullock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Manias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involves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trying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re-balance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cholinergic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two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methods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Preventing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breakdown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stimulating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mimicking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>.</w:t>
      </w:r>
    </w:p>
    <w:p w14:paraId="7861AD1B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compounds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Atropine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synthetic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since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hypokinesia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rigidity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associated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early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stages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hypokinesia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receptors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BG (</w:t>
      </w:r>
      <w:proofErr w:type="spellStart"/>
      <w:r>
        <w:rPr>
          <w:color w:val="000000"/>
        </w:rPr>
        <w:t>Connolly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Lang</w:t>
      </w:r>
      <w:proofErr w:type="spellEnd"/>
      <w:r>
        <w:rPr>
          <w:color w:val="000000"/>
        </w:rPr>
        <w:t xml:space="preserve">, 2014).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imbalance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pyramidal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extrapyramidal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pathways</w:t>
      </w:r>
      <w:proofErr w:type="spellEnd"/>
      <w:r>
        <w:rPr>
          <w:color w:val="000000"/>
        </w:rPr>
        <w:t>. </w:t>
      </w:r>
    </w:p>
    <w:p w14:paraId="563ADE7E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market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common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include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biperiden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benztropine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benzhexol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orphenadrine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procyclidine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very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small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between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biperiden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slightly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different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Biperiden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antinicotinic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addition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controlling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neuromuscular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blocking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blocking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tremors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Intake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benzhexol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procyclidine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leads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euphoric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factors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misuse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Orphenadrine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highly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skeletal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nocturnal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cramps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people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Antimuscarinic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withdrawn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gradually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usefulness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preventing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worsening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symptoms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Bullock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Manias</w:t>
      </w:r>
      <w:proofErr w:type="spellEnd"/>
      <w:r>
        <w:rPr>
          <w:color w:val="000000"/>
        </w:rPr>
        <w:t>, 2013). </w:t>
      </w:r>
    </w:p>
    <w:p w14:paraId="2B766104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other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management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Levodopa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globally-renowned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lack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substantia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lastRenderedPageBreak/>
        <w:t>Levodopa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source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doing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Bullock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Manias</w:t>
      </w:r>
      <w:proofErr w:type="spellEnd"/>
      <w:r>
        <w:rPr>
          <w:color w:val="000000"/>
        </w:rPr>
        <w:t xml:space="preserve">, 2013). </w:t>
      </w:r>
      <w:proofErr w:type="spellStart"/>
      <w:r>
        <w:rPr>
          <w:color w:val="000000"/>
        </w:rPr>
        <w:t>Levodopa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first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provided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large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ensure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right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amount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gets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central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nervous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conversion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Carbidopa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Levodopa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Failure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ineffective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Cardibopa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inhibits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peripheral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metabolism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Levodopa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increases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effectiveness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>. </w:t>
      </w:r>
    </w:p>
    <w:p w14:paraId="777496BD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impact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levodopa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usually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reduces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time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continued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a </w:t>
      </w:r>
      <w:proofErr w:type="spellStart"/>
      <w:r>
        <w:rPr>
          <w:color w:val="000000"/>
        </w:rPr>
        <w:t>certain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period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have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patients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becomes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after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years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</w:t>
      </w:r>
      <w:proofErr w:type="spellEnd"/>
      <w:r>
        <w:rPr>
          <w:color w:val="000000"/>
        </w:rPr>
        <w:t>. </w:t>
      </w:r>
    </w:p>
    <w:p w14:paraId="4EC7CB04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striving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from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nigrostriatal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nerves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countering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muscarinic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Selegiline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prolong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activity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stimulate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such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amantadine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initially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antiviral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agent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Bohnen</w:t>
      </w:r>
      <w:proofErr w:type="spellEnd"/>
      <w:r>
        <w:rPr>
          <w:color w:val="000000"/>
        </w:rPr>
        <w:t xml:space="preserve"> &amp; </w:t>
      </w:r>
      <w:proofErr w:type="spellStart"/>
      <w:r>
        <w:rPr>
          <w:color w:val="000000"/>
        </w:rPr>
        <w:t>Albin</w:t>
      </w:r>
      <w:proofErr w:type="spellEnd"/>
      <w:r>
        <w:rPr>
          <w:color w:val="000000"/>
        </w:rPr>
        <w:t xml:space="preserve">, 2011). </w:t>
      </w:r>
      <w:proofErr w:type="spellStart"/>
      <w:r>
        <w:rPr>
          <w:color w:val="000000"/>
        </w:rPr>
        <w:t>There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also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several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mimic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action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which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Liruride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pergolide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cabergoline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some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>. </w:t>
      </w:r>
    </w:p>
    <w:p w14:paraId="61C44A1E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Conclusion</w:t>
      </w:r>
      <w:proofErr w:type="spellEnd"/>
    </w:p>
    <w:p w14:paraId="425C4FCB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720"/>
      </w:pPr>
      <w:proofErr w:type="spellStart"/>
      <w:r>
        <w:rPr>
          <w:color w:val="000000"/>
        </w:rPr>
        <w:t>Understanding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help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strategies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However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despite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extensive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pathogenesis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it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still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yet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clear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causes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reasons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used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to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not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effective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drugs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whose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pathogenesis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known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Therefore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more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research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should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undertaken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relevant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professionals</w:t>
      </w:r>
      <w:proofErr w:type="spellEnd"/>
      <w:r>
        <w:rPr>
          <w:color w:val="000000"/>
        </w:rPr>
        <w:t>.  </w:t>
      </w:r>
    </w:p>
    <w:p w14:paraId="6A6DF1FD" w14:textId="77777777" w:rsidR="00CB15FD" w:rsidRDefault="00CB15FD" w:rsidP="00CB15FD">
      <w:pPr>
        <w:pStyle w:val="a3"/>
        <w:spacing w:before="0" w:beforeAutospacing="0" w:after="0" w:afterAutospacing="0" w:line="480" w:lineRule="auto"/>
      </w:pPr>
      <w:proofErr w:type="spellStart"/>
      <w:r>
        <w:rPr>
          <w:b/>
          <w:bCs/>
          <w:color w:val="000000"/>
          <w:sz w:val="40"/>
          <w:szCs w:val="40"/>
        </w:rPr>
        <w:t>References</w:t>
      </w:r>
      <w:proofErr w:type="spellEnd"/>
      <w:r>
        <w:rPr>
          <w:b/>
          <w:bCs/>
          <w:color w:val="000000"/>
          <w:sz w:val="40"/>
          <w:szCs w:val="40"/>
        </w:rPr>
        <w:t> </w:t>
      </w:r>
    </w:p>
    <w:p w14:paraId="16E96F8C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lastRenderedPageBreak/>
        <w:t>Benazzouz</w:t>
      </w:r>
      <w:proofErr w:type="spellEnd"/>
      <w:r>
        <w:rPr>
          <w:color w:val="000000"/>
        </w:rPr>
        <w:t xml:space="preserve">, A., </w:t>
      </w:r>
      <w:proofErr w:type="spellStart"/>
      <w:r>
        <w:rPr>
          <w:color w:val="000000"/>
        </w:rPr>
        <w:t>Mamad</w:t>
      </w:r>
      <w:proofErr w:type="spellEnd"/>
      <w:r>
        <w:rPr>
          <w:color w:val="000000"/>
        </w:rPr>
        <w:t xml:space="preserve">, O., </w:t>
      </w:r>
      <w:proofErr w:type="spellStart"/>
      <w:r>
        <w:rPr>
          <w:color w:val="000000"/>
        </w:rPr>
        <w:t>Abedi</w:t>
      </w:r>
      <w:proofErr w:type="spellEnd"/>
      <w:r>
        <w:rPr>
          <w:color w:val="000000"/>
        </w:rPr>
        <w:t xml:space="preserve">, P., </w:t>
      </w:r>
      <w:proofErr w:type="spellStart"/>
      <w:r>
        <w:rPr>
          <w:color w:val="000000"/>
        </w:rPr>
        <w:t>Bouali-Benazzouz</w:t>
      </w:r>
      <w:proofErr w:type="spellEnd"/>
      <w:r>
        <w:rPr>
          <w:color w:val="000000"/>
        </w:rPr>
        <w:t xml:space="preserve">, R., &amp; </w:t>
      </w:r>
      <w:proofErr w:type="spellStart"/>
      <w:r>
        <w:rPr>
          <w:color w:val="000000"/>
        </w:rPr>
        <w:t>Chetrit</w:t>
      </w:r>
      <w:proofErr w:type="spellEnd"/>
      <w:r>
        <w:rPr>
          <w:color w:val="000000"/>
        </w:rPr>
        <w:t xml:space="preserve">, J. (2014). </w:t>
      </w:r>
      <w:proofErr w:type="spellStart"/>
      <w:r>
        <w:rPr>
          <w:color w:val="000000"/>
        </w:rPr>
        <w:t>Involvement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dopamine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loss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extrastriatal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basal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ganglia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nuclei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Frontiers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Aging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Neuroscience</w:t>
      </w:r>
      <w:proofErr w:type="spellEnd"/>
      <w:r>
        <w:rPr>
          <w:i/>
          <w:iCs/>
          <w:color w:val="000000"/>
        </w:rPr>
        <w:t>, 6</w:t>
      </w:r>
      <w:r>
        <w:rPr>
          <w:color w:val="000000"/>
        </w:rPr>
        <w:t>, 87.</w:t>
      </w:r>
    </w:p>
    <w:p w14:paraId="14691246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Bohnen</w:t>
      </w:r>
      <w:proofErr w:type="spellEnd"/>
      <w:r>
        <w:rPr>
          <w:color w:val="000000"/>
        </w:rPr>
        <w:t xml:space="preserve">, N. I. &amp; </w:t>
      </w:r>
      <w:proofErr w:type="spellStart"/>
      <w:r>
        <w:rPr>
          <w:color w:val="000000"/>
        </w:rPr>
        <w:t>Albin</w:t>
      </w:r>
      <w:proofErr w:type="spellEnd"/>
      <w:r>
        <w:rPr>
          <w:color w:val="000000"/>
        </w:rPr>
        <w:t xml:space="preserve">, R. L. (2011).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Cholinergic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System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Behav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Brain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Res</w:t>
      </w:r>
      <w:proofErr w:type="spellEnd"/>
      <w:r>
        <w:rPr>
          <w:i/>
          <w:iCs/>
          <w:color w:val="000000"/>
        </w:rPr>
        <w:t>., 221</w:t>
      </w:r>
      <w:r>
        <w:rPr>
          <w:color w:val="000000"/>
        </w:rPr>
        <w:t>(2), 564-573.</w:t>
      </w:r>
    </w:p>
    <w:p w14:paraId="1DEEB4B0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Bullock</w:t>
      </w:r>
      <w:proofErr w:type="spellEnd"/>
      <w:r>
        <w:rPr>
          <w:color w:val="000000"/>
        </w:rPr>
        <w:t xml:space="preserve">, S. &amp; </w:t>
      </w:r>
      <w:proofErr w:type="spellStart"/>
      <w:r>
        <w:rPr>
          <w:color w:val="000000"/>
        </w:rPr>
        <w:t>Manias</w:t>
      </w:r>
      <w:proofErr w:type="spellEnd"/>
      <w:r>
        <w:rPr>
          <w:color w:val="000000"/>
        </w:rPr>
        <w:t xml:space="preserve">, E. (2013). </w:t>
      </w:r>
      <w:proofErr w:type="spellStart"/>
      <w:r>
        <w:rPr>
          <w:i/>
          <w:iCs/>
          <w:color w:val="000000"/>
        </w:rPr>
        <w:t>Fundamentals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pharmacology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French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Forest</w:t>
      </w:r>
      <w:proofErr w:type="spellEnd"/>
      <w:r>
        <w:rPr>
          <w:color w:val="000000"/>
        </w:rPr>
        <w:t xml:space="preserve">, N.S.W: </w:t>
      </w:r>
      <w:proofErr w:type="spellStart"/>
      <w:r>
        <w:rPr>
          <w:color w:val="000000"/>
        </w:rPr>
        <w:t>Pearson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Education</w:t>
      </w:r>
      <w:proofErr w:type="spellEnd"/>
      <w:r>
        <w:rPr>
          <w:color w:val="000000"/>
        </w:rPr>
        <w:t>.</w:t>
      </w:r>
    </w:p>
    <w:p w14:paraId="699692AF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Cannon</w:t>
      </w:r>
      <w:proofErr w:type="spellEnd"/>
      <w:r>
        <w:rPr>
          <w:color w:val="000000"/>
        </w:rPr>
        <w:t xml:space="preserve">, J. R. &amp; </w:t>
      </w:r>
      <w:proofErr w:type="spellStart"/>
      <w:r>
        <w:rPr>
          <w:color w:val="000000"/>
        </w:rPr>
        <w:t>Greenamyre</w:t>
      </w:r>
      <w:proofErr w:type="spellEnd"/>
      <w:r>
        <w:rPr>
          <w:color w:val="000000"/>
        </w:rPr>
        <w:t xml:space="preserve">, J. T. (2013). </w:t>
      </w:r>
      <w:proofErr w:type="spellStart"/>
      <w:r>
        <w:rPr>
          <w:color w:val="000000"/>
        </w:rPr>
        <w:t>Gene-environment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interactions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specific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evidence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humans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mammalian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models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Neurobiol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</w:t>
      </w:r>
      <w:proofErr w:type="spellEnd"/>
      <w:r>
        <w:rPr>
          <w:i/>
          <w:iCs/>
          <w:color w:val="000000"/>
        </w:rPr>
        <w:t>., 1</w:t>
      </w:r>
      <w:r>
        <w:rPr>
          <w:color w:val="000000"/>
        </w:rPr>
        <w:t>, 1-18.</w:t>
      </w:r>
    </w:p>
    <w:p w14:paraId="5086401B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Connolly</w:t>
      </w:r>
      <w:proofErr w:type="spellEnd"/>
      <w:r>
        <w:rPr>
          <w:color w:val="000000"/>
        </w:rPr>
        <w:t xml:space="preserve">, B. S., &amp; </w:t>
      </w:r>
      <w:proofErr w:type="spellStart"/>
      <w:r>
        <w:rPr>
          <w:color w:val="000000"/>
        </w:rPr>
        <w:t>Lang</w:t>
      </w:r>
      <w:proofErr w:type="spellEnd"/>
      <w:r>
        <w:rPr>
          <w:color w:val="000000"/>
        </w:rPr>
        <w:t xml:space="preserve">, A. E. (2014). </w:t>
      </w:r>
      <w:proofErr w:type="spellStart"/>
      <w:r>
        <w:rPr>
          <w:color w:val="000000"/>
        </w:rPr>
        <w:t>Pharmacological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treatment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. </w:t>
      </w:r>
      <w:r>
        <w:rPr>
          <w:i/>
          <w:iCs/>
          <w:color w:val="000000"/>
        </w:rPr>
        <w:t>JAMA, 311</w:t>
      </w:r>
      <w:r>
        <w:rPr>
          <w:color w:val="000000"/>
        </w:rPr>
        <w:t>(16), 1670-1683.</w:t>
      </w:r>
    </w:p>
    <w:p w14:paraId="4956214D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Del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Tredici</w:t>
      </w:r>
      <w:proofErr w:type="spellEnd"/>
      <w:r>
        <w:rPr>
          <w:color w:val="000000"/>
        </w:rPr>
        <w:t xml:space="preserve">, K., &amp; </w:t>
      </w:r>
      <w:proofErr w:type="spellStart"/>
      <w:r>
        <w:rPr>
          <w:color w:val="000000"/>
        </w:rPr>
        <w:t>Braak</w:t>
      </w:r>
      <w:proofErr w:type="spellEnd"/>
      <w:r>
        <w:rPr>
          <w:color w:val="000000"/>
        </w:rPr>
        <w:t xml:space="preserve">, H. (2016). </w:t>
      </w:r>
      <w:proofErr w:type="spellStart"/>
      <w:r>
        <w:rPr>
          <w:color w:val="000000"/>
        </w:rPr>
        <w:t>Sporadic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development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distribution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α</w:t>
      </w:r>
      <w:r>
        <w:rPr>
          <w:rFonts w:ascii="Cambria Math" w:hAnsi="Cambria Math"/>
          <w:color w:val="000000"/>
        </w:rPr>
        <w:t>‐</w:t>
      </w:r>
      <w:proofErr w:type="spellStart"/>
      <w:r>
        <w:rPr>
          <w:color w:val="000000"/>
        </w:rPr>
        <w:t>synuclein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pathology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Neuropathology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Applied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Neurobiology</w:t>
      </w:r>
      <w:proofErr w:type="spellEnd"/>
      <w:r>
        <w:rPr>
          <w:i/>
          <w:iCs/>
          <w:color w:val="000000"/>
        </w:rPr>
        <w:t>, 42</w:t>
      </w:r>
      <w:r>
        <w:rPr>
          <w:color w:val="000000"/>
        </w:rPr>
        <w:t>(1), 33-50.</w:t>
      </w:r>
    </w:p>
    <w:p w14:paraId="08486A7B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Kwan</w:t>
      </w:r>
      <w:proofErr w:type="spellEnd"/>
      <w:r>
        <w:rPr>
          <w:color w:val="000000"/>
        </w:rPr>
        <w:t xml:space="preserve">, L. C. &amp; </w:t>
      </w:r>
      <w:proofErr w:type="spellStart"/>
      <w:r>
        <w:rPr>
          <w:color w:val="000000"/>
        </w:rPr>
        <w:t>Whitehill</w:t>
      </w:r>
      <w:proofErr w:type="spellEnd"/>
      <w:r>
        <w:rPr>
          <w:color w:val="000000"/>
        </w:rPr>
        <w:t xml:space="preserve">, T. L. (2011). </w:t>
      </w:r>
      <w:proofErr w:type="spellStart"/>
      <w:r>
        <w:rPr>
          <w:color w:val="000000"/>
        </w:rPr>
        <w:t>Perception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Speech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by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Individuals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with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A </w:t>
      </w:r>
      <w:proofErr w:type="spellStart"/>
      <w:r>
        <w:rPr>
          <w:color w:val="000000"/>
        </w:rPr>
        <w:t>Review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Parkinson’s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Disease</w:t>
      </w:r>
      <w:proofErr w:type="spellEnd"/>
      <w:r>
        <w:rPr>
          <w:i/>
          <w:iCs/>
          <w:color w:val="000000"/>
        </w:rPr>
        <w:t>, 2011</w:t>
      </w:r>
      <w:r>
        <w:rPr>
          <w:color w:val="000000"/>
        </w:rPr>
        <w:t>, 1-11.</w:t>
      </w:r>
    </w:p>
    <w:p w14:paraId="5D29AC8D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Olanow</w:t>
      </w:r>
      <w:proofErr w:type="spellEnd"/>
      <w:r>
        <w:rPr>
          <w:color w:val="000000"/>
        </w:rPr>
        <w:t xml:space="preserve">, C. W., </w:t>
      </w:r>
      <w:proofErr w:type="spellStart"/>
      <w:r>
        <w:rPr>
          <w:color w:val="000000"/>
        </w:rPr>
        <w:t>Stocchi</w:t>
      </w:r>
      <w:proofErr w:type="spellEnd"/>
      <w:r>
        <w:rPr>
          <w:color w:val="000000"/>
        </w:rPr>
        <w:t xml:space="preserve">, F., &amp; </w:t>
      </w:r>
      <w:proofErr w:type="spellStart"/>
      <w:r>
        <w:rPr>
          <w:color w:val="000000"/>
        </w:rPr>
        <w:t>Lang</w:t>
      </w:r>
      <w:proofErr w:type="spellEnd"/>
      <w:r>
        <w:rPr>
          <w:color w:val="000000"/>
        </w:rPr>
        <w:t xml:space="preserve">, A. E. (2011). </w:t>
      </w:r>
      <w:proofErr w:type="spellStart"/>
      <w:r>
        <w:rPr>
          <w:i/>
          <w:iCs/>
          <w:color w:val="000000"/>
        </w:rPr>
        <w:t>Parkinson's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Disease</w:t>
      </w:r>
      <w:proofErr w:type="spellEnd"/>
      <w:r>
        <w:rPr>
          <w:i/>
          <w:iCs/>
          <w:color w:val="000000"/>
        </w:rPr>
        <w:t xml:space="preserve">: </w:t>
      </w:r>
      <w:proofErr w:type="spellStart"/>
      <w:r>
        <w:rPr>
          <w:i/>
          <w:iCs/>
          <w:color w:val="000000"/>
        </w:rPr>
        <w:t>Non-Motor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and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Non-Dopaminergic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Features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Hoboken</w:t>
      </w:r>
      <w:proofErr w:type="spellEnd"/>
      <w:r>
        <w:rPr>
          <w:color w:val="000000"/>
        </w:rPr>
        <w:t xml:space="preserve">, NJ: </w:t>
      </w:r>
      <w:proofErr w:type="spellStart"/>
      <w:r>
        <w:rPr>
          <w:color w:val="000000"/>
        </w:rPr>
        <w:t>Wiley-Blackwell</w:t>
      </w:r>
      <w:proofErr w:type="spellEnd"/>
      <w:r>
        <w:rPr>
          <w:color w:val="000000"/>
        </w:rPr>
        <w:t>.</w:t>
      </w:r>
    </w:p>
    <w:p w14:paraId="22CD7C15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Schulz-Schaeffer</w:t>
      </w:r>
      <w:proofErr w:type="spellEnd"/>
      <w:r>
        <w:rPr>
          <w:color w:val="000000"/>
        </w:rPr>
        <w:t xml:space="preserve">, W. J. (2015). </w:t>
      </w:r>
      <w:proofErr w:type="spellStart"/>
      <w:r>
        <w:rPr>
          <w:color w:val="000000"/>
        </w:rPr>
        <w:t>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cell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death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primary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or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secondary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of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idiopathic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Parkinson’s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?. </w:t>
      </w:r>
      <w:proofErr w:type="spellStart"/>
      <w:r>
        <w:rPr>
          <w:i/>
          <w:iCs/>
          <w:color w:val="000000"/>
        </w:rPr>
        <w:t>Biomolecules</w:t>
      </w:r>
      <w:proofErr w:type="spellEnd"/>
      <w:r>
        <w:rPr>
          <w:i/>
          <w:iCs/>
          <w:color w:val="000000"/>
        </w:rPr>
        <w:t>, 5</w:t>
      </w:r>
      <w:r>
        <w:rPr>
          <w:color w:val="000000"/>
        </w:rPr>
        <w:t>(3), 1467-1479.</w:t>
      </w:r>
    </w:p>
    <w:p w14:paraId="401E09D2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Suttrup</w:t>
      </w:r>
      <w:proofErr w:type="spellEnd"/>
      <w:r>
        <w:rPr>
          <w:color w:val="000000"/>
        </w:rPr>
        <w:t xml:space="preserve">, I., &amp; </w:t>
      </w:r>
      <w:proofErr w:type="spellStart"/>
      <w:r>
        <w:rPr>
          <w:color w:val="000000"/>
        </w:rPr>
        <w:t>Warnecke</w:t>
      </w:r>
      <w:proofErr w:type="spellEnd"/>
      <w:r>
        <w:rPr>
          <w:color w:val="000000"/>
        </w:rPr>
        <w:t xml:space="preserve">, T. (2016). </w:t>
      </w:r>
      <w:proofErr w:type="spellStart"/>
      <w:r>
        <w:rPr>
          <w:color w:val="000000"/>
        </w:rPr>
        <w:t>Dysphagia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Parkinson's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Disease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Pathophysiology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Diagnosis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and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Therapy</w:t>
      </w:r>
      <w:proofErr w:type="spellEnd"/>
      <w:r>
        <w:rPr>
          <w:color w:val="000000"/>
        </w:rPr>
        <w:t xml:space="preserve">. </w:t>
      </w:r>
      <w:proofErr w:type="spellStart"/>
      <w:r>
        <w:rPr>
          <w:i/>
          <w:iCs/>
          <w:color w:val="000000"/>
        </w:rPr>
        <w:t>Fortschritte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der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Neurologie-Psychiatrie</w:t>
      </w:r>
      <w:proofErr w:type="spellEnd"/>
      <w:r>
        <w:rPr>
          <w:i/>
          <w:iCs/>
          <w:color w:val="000000"/>
        </w:rPr>
        <w:t>, 84</w:t>
      </w:r>
      <w:r>
        <w:rPr>
          <w:color w:val="000000"/>
        </w:rPr>
        <w:t>, S18-23.</w:t>
      </w:r>
    </w:p>
    <w:p w14:paraId="5B6B8F1C" w14:textId="77777777" w:rsidR="00CB15FD" w:rsidRDefault="00CB15FD" w:rsidP="00CB15FD">
      <w:pPr>
        <w:pStyle w:val="a3"/>
        <w:spacing w:before="0" w:beforeAutospacing="0" w:after="0" w:afterAutospacing="0" w:line="480" w:lineRule="auto"/>
        <w:ind w:firstLine="992"/>
      </w:pPr>
      <w:proofErr w:type="spellStart"/>
      <w:r>
        <w:rPr>
          <w:color w:val="000000"/>
        </w:rPr>
        <w:t>Wellstead</w:t>
      </w:r>
      <w:proofErr w:type="spellEnd"/>
      <w:r>
        <w:rPr>
          <w:color w:val="000000"/>
        </w:rPr>
        <w:t xml:space="preserve">, P. E., &amp; </w:t>
      </w:r>
      <w:proofErr w:type="spellStart"/>
      <w:r>
        <w:rPr>
          <w:color w:val="000000"/>
        </w:rPr>
        <w:t>Cloutier</w:t>
      </w:r>
      <w:proofErr w:type="spellEnd"/>
      <w:r>
        <w:rPr>
          <w:color w:val="000000"/>
        </w:rPr>
        <w:t xml:space="preserve">, M. (2012). </w:t>
      </w:r>
      <w:proofErr w:type="spellStart"/>
      <w:r>
        <w:rPr>
          <w:i/>
          <w:iCs/>
          <w:color w:val="000000"/>
        </w:rPr>
        <w:t>Systems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biology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of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Parkinson's</w:t>
      </w:r>
      <w:proofErr w:type="spellEnd"/>
      <w:r>
        <w:rPr>
          <w:i/>
          <w:iCs/>
          <w:color w:val="000000"/>
        </w:rPr>
        <w:t xml:space="preserve"> </w:t>
      </w:r>
      <w:proofErr w:type="spellStart"/>
      <w:r>
        <w:rPr>
          <w:i/>
          <w:iCs/>
          <w:color w:val="000000"/>
        </w:rPr>
        <w:t>disease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New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York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Springer</w:t>
      </w:r>
      <w:proofErr w:type="spellEnd"/>
      <w:r>
        <w:rPr>
          <w:color w:val="000000"/>
        </w:rPr>
        <w:t>.</w:t>
      </w:r>
    </w:p>
    <w:p w14:paraId="7A7D14BC" w14:textId="77777777" w:rsidR="00C446AF" w:rsidRDefault="00C446AF"/>
    <w:sectPr w:rsidR="00C44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61F"/>
    <w:rsid w:val="0091061F"/>
    <w:rsid w:val="00C446AF"/>
    <w:rsid w:val="00CB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8973BE-58D8-4EE4-821A-E2304B93A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15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UA" w:eastAsia="ru-UA"/>
    </w:rPr>
  </w:style>
  <w:style w:type="character" w:customStyle="1" w:styleId="apple-tab-span">
    <w:name w:val="apple-tab-span"/>
    <w:basedOn w:val="a0"/>
    <w:rsid w:val="00CB1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2194</Words>
  <Characters>12510</Characters>
  <Application>Microsoft Office Word</Application>
  <DocSecurity>0</DocSecurity>
  <Lines>104</Lines>
  <Paragraphs>29</Paragraphs>
  <ScaleCrop>false</ScaleCrop>
  <Company/>
  <LinksUpToDate>false</LinksUpToDate>
  <CharactersWithSpaces>14675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Vladyslava Yaduta</dc:creator>
  <cp:keywords/>
  <dc:description/>
  <cp:lastModifiedBy>Vladyslava Yaduta</cp:lastModifiedBy>
  <cp:revision>3</cp:revision>
  <dcterms:created xsi:type="dcterms:W3CDTF">2023-02-23T12:22:00Z</dcterms:created>
  <dcterms:modified xsi:type="dcterms:W3CDTF">2023-02-23T12:23:00Z</dcterms:modified>
</cp:coreProperties>
</file>