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4CE24B" w14:textId="77777777" w:rsidR="00B33980" w:rsidRPr="00B33980" w:rsidRDefault="00B33980" w:rsidP="00B33980">
      <w:pPr>
        <w:spacing w:after="200" w:line="480" w:lineRule="auto"/>
        <w:jc w:val="center"/>
        <w:rPr>
          <w:rFonts w:ascii="Times New Roman" w:eastAsia="Times New Roman" w:hAnsi="Times New Roman" w:cs="Times New Roman"/>
          <w:sz w:val="24"/>
          <w:szCs w:val="24"/>
          <w:lang/>
        </w:rPr>
      </w:pPr>
      <w:r w:rsidRPr="00B33980">
        <w:rPr>
          <w:rFonts w:ascii="Times New Roman" w:eastAsia="Times New Roman" w:hAnsi="Times New Roman" w:cs="Times New Roman"/>
          <w:b/>
          <w:bCs/>
          <w:color w:val="000000"/>
          <w:sz w:val="48"/>
          <w:szCs w:val="48"/>
          <w:lang/>
        </w:rPr>
        <w:t>Economics and health care</w:t>
      </w:r>
    </w:p>
    <w:p w14:paraId="1A922B65" w14:textId="77777777" w:rsidR="00B33980" w:rsidRPr="00B33980" w:rsidRDefault="00B33980" w:rsidP="00B33980">
      <w:pPr>
        <w:spacing w:after="200" w:line="480" w:lineRule="auto"/>
        <w:rPr>
          <w:rFonts w:ascii="Times New Roman" w:eastAsia="Times New Roman" w:hAnsi="Times New Roman" w:cs="Times New Roman"/>
          <w:sz w:val="24"/>
          <w:szCs w:val="24"/>
          <w:lang/>
        </w:rPr>
      </w:pPr>
      <w:r w:rsidRPr="00B33980">
        <w:rPr>
          <w:rFonts w:ascii="Times New Roman" w:eastAsia="Times New Roman" w:hAnsi="Times New Roman" w:cs="Times New Roman"/>
          <w:b/>
          <w:bCs/>
          <w:color w:val="000000"/>
          <w:sz w:val="40"/>
          <w:szCs w:val="40"/>
          <w:lang/>
        </w:rPr>
        <w:t>Introduction </w:t>
      </w:r>
    </w:p>
    <w:p w14:paraId="7497747D" w14:textId="77777777" w:rsidR="00B33980" w:rsidRPr="00B33980" w:rsidRDefault="00B33980" w:rsidP="00B33980">
      <w:pPr>
        <w:spacing w:after="200" w:line="480" w:lineRule="auto"/>
        <w:ind w:firstLine="720"/>
        <w:rPr>
          <w:rFonts w:ascii="Times New Roman" w:eastAsia="Times New Roman" w:hAnsi="Times New Roman" w:cs="Times New Roman"/>
          <w:sz w:val="24"/>
          <w:szCs w:val="24"/>
          <w:lang/>
        </w:rPr>
      </w:pPr>
      <w:r w:rsidRPr="00B33980">
        <w:rPr>
          <w:rFonts w:ascii="Times New Roman" w:eastAsia="Times New Roman" w:hAnsi="Times New Roman" w:cs="Times New Roman"/>
          <w:color w:val="000000"/>
          <w:sz w:val="24"/>
          <w:szCs w:val="24"/>
          <w:lang/>
        </w:rPr>
        <w:t>In today’s world, economics plays a critical role in different areas of management in sectors of business. For example, in the healthcare, economics has over the years been used as an evaluating tool for various healthcare-based interventions and activities. However, with different economic concerns getting toll of these healthcare systems, many hospitals are focusing on how they can engage nurse managers in healthcare management (Feldstein, 2012. This is because nurse managers are currently holding a pivotal position in ensuring that clinical as well as cost-effective healthcare is provided. As a result, nurses are presently getting engaged in different trainings to better understand the financial management language as well as the different funding models. In light of these concerns, this study focuses on discussing the concepts of economics, case-mix-based information system, funding models and equally looks at how they are employed in the healthcare setting</w:t>
      </w:r>
    </w:p>
    <w:p w14:paraId="715CE574" w14:textId="77777777" w:rsidR="00B33980" w:rsidRPr="00B33980" w:rsidRDefault="00B33980" w:rsidP="00B33980">
      <w:pPr>
        <w:spacing w:after="200" w:line="480" w:lineRule="auto"/>
        <w:rPr>
          <w:rFonts w:ascii="Times New Roman" w:eastAsia="Times New Roman" w:hAnsi="Times New Roman" w:cs="Times New Roman"/>
          <w:sz w:val="24"/>
          <w:szCs w:val="24"/>
          <w:lang/>
        </w:rPr>
      </w:pPr>
      <w:r w:rsidRPr="00B33980">
        <w:rPr>
          <w:rFonts w:ascii="Times New Roman" w:eastAsia="Times New Roman" w:hAnsi="Times New Roman" w:cs="Times New Roman"/>
          <w:b/>
          <w:bCs/>
          <w:color w:val="000000"/>
          <w:sz w:val="40"/>
          <w:szCs w:val="40"/>
          <w:lang/>
        </w:rPr>
        <w:t>Economic concepts used in the context of healthcare delivery </w:t>
      </w:r>
    </w:p>
    <w:p w14:paraId="13DB91B3" w14:textId="77777777" w:rsidR="00B33980" w:rsidRPr="00B33980" w:rsidRDefault="00B33980" w:rsidP="00B33980">
      <w:pPr>
        <w:spacing w:after="200" w:line="480" w:lineRule="auto"/>
        <w:rPr>
          <w:rFonts w:ascii="Times New Roman" w:eastAsia="Times New Roman" w:hAnsi="Times New Roman" w:cs="Times New Roman"/>
          <w:sz w:val="24"/>
          <w:szCs w:val="24"/>
          <w:lang/>
        </w:rPr>
      </w:pPr>
      <w:r w:rsidRPr="00B33980">
        <w:rPr>
          <w:rFonts w:ascii="Times New Roman" w:eastAsia="Times New Roman" w:hAnsi="Times New Roman" w:cs="Times New Roman"/>
          <w:b/>
          <w:bCs/>
          <w:color w:val="000000"/>
          <w:sz w:val="40"/>
          <w:szCs w:val="40"/>
          <w:lang/>
        </w:rPr>
        <w:t>Allocative efficiency</w:t>
      </w:r>
    </w:p>
    <w:p w14:paraId="69712B8F" w14:textId="77777777" w:rsidR="00B33980" w:rsidRPr="00B33980" w:rsidRDefault="00B33980" w:rsidP="00B33980">
      <w:pPr>
        <w:spacing w:after="200" w:line="480" w:lineRule="auto"/>
        <w:ind w:firstLine="720"/>
        <w:rPr>
          <w:rFonts w:ascii="Times New Roman" w:eastAsia="Times New Roman" w:hAnsi="Times New Roman" w:cs="Times New Roman"/>
          <w:sz w:val="24"/>
          <w:szCs w:val="24"/>
          <w:lang/>
        </w:rPr>
      </w:pPr>
      <w:r w:rsidRPr="00B33980">
        <w:rPr>
          <w:rFonts w:ascii="Times New Roman" w:eastAsia="Times New Roman" w:hAnsi="Times New Roman" w:cs="Times New Roman"/>
          <w:color w:val="000000"/>
          <w:sz w:val="24"/>
          <w:szCs w:val="24"/>
          <w:lang/>
        </w:rPr>
        <w:t>For any health system to guarantee effective service delivery, every decision on resource allocations must always be based on efficiency. According to studies, allocative efficiency is a term that is commonly used to mean a right to equal share of the resources devoted to healthcare delivery</w:t>
      </w:r>
      <w:r w:rsidRPr="00B33980">
        <w:rPr>
          <w:rFonts w:ascii="Times New Roman" w:eastAsia="Times New Roman" w:hAnsi="Times New Roman" w:cs="Times New Roman"/>
          <w:color w:val="000000"/>
          <w:sz w:val="24"/>
          <w:szCs w:val="24"/>
          <w:shd w:val="clear" w:color="auto" w:fill="FFFFFF"/>
          <w:lang/>
        </w:rPr>
        <w:t xml:space="preserve"> (Shodhganga.inflibnet.ac.in, 2013)</w:t>
      </w:r>
      <w:r w:rsidRPr="00B33980">
        <w:rPr>
          <w:rFonts w:ascii="Times New Roman" w:eastAsia="Times New Roman" w:hAnsi="Times New Roman" w:cs="Times New Roman"/>
          <w:color w:val="000000"/>
          <w:sz w:val="24"/>
          <w:szCs w:val="24"/>
          <w:lang/>
        </w:rPr>
        <w:t xml:space="preserve">. From an economic point of view, a healthcare system can be allocative efficient if the input mix used help in health care cost reduction. </w:t>
      </w:r>
      <w:r w:rsidRPr="00B33980">
        <w:rPr>
          <w:rFonts w:ascii="Times New Roman" w:eastAsia="Times New Roman" w:hAnsi="Times New Roman" w:cs="Times New Roman"/>
          <w:color w:val="000000"/>
          <w:sz w:val="24"/>
          <w:szCs w:val="24"/>
          <w:lang/>
        </w:rPr>
        <w:lastRenderedPageBreak/>
        <w:t>Usually, the allocative efficiency concept tends to take into account the efficiency around the outcome distribution as well as the productive efficiency, particularly the health outcomes which are produced using health resources.  For example, in healthcare, the allocative efficiency is always about having the right combination of health service program that improves the health of the community.</w:t>
      </w:r>
    </w:p>
    <w:p w14:paraId="35A0FB3F" w14:textId="77777777" w:rsidR="00B33980" w:rsidRPr="00B33980" w:rsidRDefault="00B33980" w:rsidP="00B33980">
      <w:pPr>
        <w:spacing w:after="200" w:line="480" w:lineRule="auto"/>
        <w:rPr>
          <w:rFonts w:ascii="Times New Roman" w:eastAsia="Times New Roman" w:hAnsi="Times New Roman" w:cs="Times New Roman"/>
          <w:sz w:val="24"/>
          <w:szCs w:val="24"/>
          <w:lang/>
        </w:rPr>
      </w:pPr>
      <w:r w:rsidRPr="00B33980">
        <w:rPr>
          <w:rFonts w:ascii="Times New Roman" w:eastAsia="Times New Roman" w:hAnsi="Times New Roman" w:cs="Times New Roman"/>
          <w:b/>
          <w:bCs/>
          <w:color w:val="000000"/>
          <w:sz w:val="40"/>
          <w:szCs w:val="40"/>
          <w:lang/>
        </w:rPr>
        <w:t>Technical efficiency</w:t>
      </w:r>
    </w:p>
    <w:p w14:paraId="7BD361BF" w14:textId="77777777" w:rsidR="00B33980" w:rsidRPr="00B33980" w:rsidRDefault="00B33980" w:rsidP="00B33980">
      <w:pPr>
        <w:spacing w:after="200" w:line="480" w:lineRule="auto"/>
        <w:ind w:firstLine="720"/>
        <w:rPr>
          <w:rFonts w:ascii="Times New Roman" w:eastAsia="Times New Roman" w:hAnsi="Times New Roman" w:cs="Times New Roman"/>
          <w:sz w:val="24"/>
          <w:szCs w:val="24"/>
          <w:lang/>
        </w:rPr>
      </w:pPr>
      <w:r w:rsidRPr="00B33980">
        <w:rPr>
          <w:rFonts w:ascii="Times New Roman" w:eastAsia="Times New Roman" w:hAnsi="Times New Roman" w:cs="Times New Roman"/>
          <w:color w:val="000000"/>
          <w:sz w:val="24"/>
          <w:szCs w:val="24"/>
          <w:lang/>
        </w:rPr>
        <w:t>Technical efficiency, on the other hand, is often used to show the physical relation that exists between health outcome and resources.  It is commonly achieved when resource inputs are used to produce an improved healthcare outcome for the patients. For instance, a healthcare intervention can be efficient if it produces an equal or greater outcome from a given resource input</w:t>
      </w:r>
      <w:r w:rsidRPr="00B33980">
        <w:rPr>
          <w:rFonts w:ascii="Times New Roman" w:eastAsia="Times New Roman" w:hAnsi="Times New Roman" w:cs="Times New Roman"/>
          <w:color w:val="000000"/>
          <w:sz w:val="24"/>
          <w:szCs w:val="24"/>
          <w:shd w:val="clear" w:color="auto" w:fill="FFFFFF"/>
          <w:lang/>
        </w:rPr>
        <w:t xml:space="preserve"> (Shodhganga.inflibnet.ac.in, 2013)</w:t>
      </w:r>
      <w:r w:rsidRPr="00B33980">
        <w:rPr>
          <w:rFonts w:ascii="Times New Roman" w:eastAsia="Times New Roman" w:hAnsi="Times New Roman" w:cs="Times New Roman"/>
          <w:color w:val="000000"/>
          <w:sz w:val="24"/>
          <w:szCs w:val="24"/>
          <w:lang/>
        </w:rPr>
        <w:t>. Based on the example provided, technical efficiency is merely about using a given amount of input to produce an equal amount of outcome or even more. Therefore in healthcare systems, technical efficiency tend addresses the concerns linked to the efficient use of health care resources to attain the maximum benefits. </w:t>
      </w:r>
    </w:p>
    <w:p w14:paraId="7759CFA0" w14:textId="77777777" w:rsidR="00B33980" w:rsidRPr="00B33980" w:rsidRDefault="00B33980" w:rsidP="00B33980">
      <w:pPr>
        <w:spacing w:after="200" w:line="480" w:lineRule="auto"/>
        <w:rPr>
          <w:rFonts w:ascii="Times New Roman" w:eastAsia="Times New Roman" w:hAnsi="Times New Roman" w:cs="Times New Roman"/>
          <w:sz w:val="24"/>
          <w:szCs w:val="24"/>
          <w:lang/>
        </w:rPr>
      </w:pPr>
      <w:r w:rsidRPr="00B33980">
        <w:rPr>
          <w:rFonts w:ascii="Times New Roman" w:eastAsia="Times New Roman" w:hAnsi="Times New Roman" w:cs="Times New Roman"/>
          <w:b/>
          <w:bCs/>
          <w:color w:val="000000"/>
          <w:sz w:val="40"/>
          <w:szCs w:val="40"/>
          <w:lang/>
        </w:rPr>
        <w:t>Opportunity cost</w:t>
      </w:r>
    </w:p>
    <w:p w14:paraId="4B7F150D" w14:textId="77777777" w:rsidR="00B33980" w:rsidRPr="00B33980" w:rsidRDefault="00B33980" w:rsidP="00B33980">
      <w:pPr>
        <w:spacing w:after="200" w:line="480" w:lineRule="auto"/>
        <w:ind w:firstLine="720"/>
        <w:rPr>
          <w:rFonts w:ascii="Times New Roman" w:eastAsia="Times New Roman" w:hAnsi="Times New Roman" w:cs="Times New Roman"/>
          <w:sz w:val="24"/>
          <w:szCs w:val="24"/>
          <w:lang/>
        </w:rPr>
      </w:pPr>
      <w:r w:rsidRPr="00B33980">
        <w:rPr>
          <w:rFonts w:ascii="Times New Roman" w:eastAsia="Times New Roman" w:hAnsi="Times New Roman" w:cs="Times New Roman"/>
          <w:color w:val="000000"/>
          <w:sz w:val="24"/>
          <w:szCs w:val="24"/>
          <w:lang/>
        </w:rPr>
        <w:t>An Opportunity cost is always a fundamental concept for any economist who is interested in issues associated with cost. This is because resources are usually known to be scarce as compared to the needs of the people. In healthcare, the opportunity cost can best be measured in terms of the health benefits, especially when an investment is made on the best alternative healthcare program or interventions</w:t>
      </w:r>
      <w:r w:rsidRPr="00B33980">
        <w:rPr>
          <w:rFonts w:ascii="Times New Roman" w:eastAsia="Times New Roman" w:hAnsi="Times New Roman" w:cs="Times New Roman"/>
          <w:color w:val="000000"/>
          <w:sz w:val="24"/>
          <w:szCs w:val="24"/>
          <w:shd w:val="clear" w:color="auto" w:fill="FFFFFF"/>
          <w:lang/>
        </w:rPr>
        <w:t xml:space="preserve"> (Shodhganga.inflibnet.ac.in, 2013)</w:t>
      </w:r>
      <w:r w:rsidRPr="00B33980">
        <w:rPr>
          <w:rFonts w:ascii="Times New Roman" w:eastAsia="Times New Roman" w:hAnsi="Times New Roman" w:cs="Times New Roman"/>
          <w:color w:val="000000"/>
          <w:sz w:val="24"/>
          <w:szCs w:val="24"/>
          <w:lang/>
        </w:rPr>
        <w:t xml:space="preserve">. For example, working on a program that prevents an accident in childhood could be a health gain that is forgone by asthma affected children. Such economic evaluations tend to follow an approach that compares the paybacks that could be associated with alternative resources allocations. Therefore in healthcare, opportunity costs entail the amount of services that an organization delivers with the </w:t>
      </w:r>
      <w:r w:rsidRPr="00B33980">
        <w:rPr>
          <w:rFonts w:ascii="Times New Roman" w:eastAsia="Times New Roman" w:hAnsi="Times New Roman" w:cs="Times New Roman"/>
          <w:color w:val="000000"/>
          <w:sz w:val="24"/>
          <w:szCs w:val="24"/>
          <w:lang/>
        </w:rPr>
        <w:lastRenderedPageBreak/>
        <w:t>use of less or more resources used. The resultant impacts are that it often leads to better and informed decisions which might end up improving the health outcomes.</w:t>
      </w:r>
    </w:p>
    <w:p w14:paraId="65576B29" w14:textId="77777777" w:rsidR="00B33980" w:rsidRPr="00B33980" w:rsidRDefault="00B33980" w:rsidP="00B33980">
      <w:pPr>
        <w:spacing w:after="200" w:line="480" w:lineRule="auto"/>
        <w:rPr>
          <w:rFonts w:ascii="Times New Roman" w:eastAsia="Times New Roman" w:hAnsi="Times New Roman" w:cs="Times New Roman"/>
          <w:sz w:val="24"/>
          <w:szCs w:val="24"/>
          <w:lang/>
        </w:rPr>
      </w:pPr>
      <w:r w:rsidRPr="00B33980">
        <w:rPr>
          <w:rFonts w:ascii="Times New Roman" w:eastAsia="Times New Roman" w:hAnsi="Times New Roman" w:cs="Times New Roman"/>
          <w:b/>
          <w:bCs/>
          <w:color w:val="000000"/>
          <w:sz w:val="40"/>
          <w:szCs w:val="40"/>
          <w:lang/>
        </w:rPr>
        <w:t>Cost-effectiveness analysis </w:t>
      </w:r>
    </w:p>
    <w:p w14:paraId="65B7031F" w14:textId="77777777" w:rsidR="00B33980" w:rsidRPr="00B33980" w:rsidRDefault="00B33980" w:rsidP="00B33980">
      <w:pPr>
        <w:spacing w:after="200" w:line="480" w:lineRule="auto"/>
        <w:ind w:firstLine="720"/>
        <w:rPr>
          <w:rFonts w:ascii="Times New Roman" w:eastAsia="Times New Roman" w:hAnsi="Times New Roman" w:cs="Times New Roman"/>
          <w:sz w:val="24"/>
          <w:szCs w:val="24"/>
          <w:lang/>
        </w:rPr>
      </w:pPr>
      <w:r w:rsidRPr="00B33980">
        <w:rPr>
          <w:rFonts w:ascii="Times New Roman" w:eastAsia="Times New Roman" w:hAnsi="Times New Roman" w:cs="Times New Roman"/>
          <w:color w:val="000000"/>
          <w:sz w:val="24"/>
          <w:szCs w:val="24"/>
          <w:lang/>
        </w:rPr>
        <w:t>This is an economic analysis that is often used to compare the effects of different outcomes with their relative costs. In such circumstances, this type of analysis is commonly used in areas where health effect monetization might be advised</w:t>
      </w:r>
      <w:r w:rsidRPr="00B33980">
        <w:rPr>
          <w:rFonts w:ascii="Times New Roman" w:eastAsia="Times New Roman" w:hAnsi="Times New Roman" w:cs="Times New Roman"/>
          <w:color w:val="000000"/>
          <w:sz w:val="24"/>
          <w:szCs w:val="24"/>
          <w:shd w:val="clear" w:color="auto" w:fill="FFFFFF"/>
          <w:lang/>
        </w:rPr>
        <w:t xml:space="preserve"> (Shodhganga.inflibnet.ac.in, 2013)</w:t>
      </w:r>
      <w:r w:rsidRPr="00B33980">
        <w:rPr>
          <w:rFonts w:ascii="Times New Roman" w:eastAsia="Times New Roman" w:hAnsi="Times New Roman" w:cs="Times New Roman"/>
          <w:color w:val="000000"/>
          <w:sz w:val="24"/>
          <w:szCs w:val="24"/>
          <w:lang/>
        </w:rPr>
        <w:t>. As a tool for decisions making, the economists often used it to make cost and effective comparison on the set of medical care that should be provided amidst different alternatives available. Such comparisons always play a vital role especially when the alternative to be chosen should provide standard care. In doing so, the decision maker gains an opportunity to evaluate different innovations to come up with better decisions that improve health care services.</w:t>
      </w:r>
    </w:p>
    <w:p w14:paraId="38FFA670" w14:textId="77777777" w:rsidR="00B33980" w:rsidRPr="00B33980" w:rsidRDefault="00B33980" w:rsidP="00B33980">
      <w:pPr>
        <w:spacing w:after="200" w:line="480" w:lineRule="auto"/>
        <w:rPr>
          <w:rFonts w:ascii="Times New Roman" w:eastAsia="Times New Roman" w:hAnsi="Times New Roman" w:cs="Times New Roman"/>
          <w:sz w:val="24"/>
          <w:szCs w:val="24"/>
          <w:lang/>
        </w:rPr>
      </w:pPr>
      <w:r w:rsidRPr="00B33980">
        <w:rPr>
          <w:rFonts w:ascii="Times New Roman" w:eastAsia="Times New Roman" w:hAnsi="Times New Roman" w:cs="Times New Roman"/>
          <w:b/>
          <w:bCs/>
          <w:color w:val="000000"/>
          <w:sz w:val="40"/>
          <w:szCs w:val="40"/>
          <w:lang/>
        </w:rPr>
        <w:t>Activity-based funding</w:t>
      </w:r>
    </w:p>
    <w:p w14:paraId="42A0D8ED" w14:textId="77777777" w:rsidR="00B33980" w:rsidRPr="00B33980" w:rsidRDefault="00B33980" w:rsidP="00B33980">
      <w:pPr>
        <w:spacing w:after="200" w:line="480" w:lineRule="auto"/>
        <w:ind w:firstLine="720"/>
        <w:rPr>
          <w:rFonts w:ascii="Times New Roman" w:eastAsia="Times New Roman" w:hAnsi="Times New Roman" w:cs="Times New Roman"/>
          <w:sz w:val="24"/>
          <w:szCs w:val="24"/>
          <w:lang/>
        </w:rPr>
      </w:pPr>
      <w:r w:rsidRPr="00B33980">
        <w:rPr>
          <w:rFonts w:ascii="Times New Roman" w:eastAsia="Times New Roman" w:hAnsi="Times New Roman" w:cs="Times New Roman"/>
          <w:color w:val="000000"/>
          <w:sz w:val="24"/>
          <w:szCs w:val="24"/>
          <w:lang/>
        </w:rPr>
        <w:t>ABF is an approach that most healthcare systems such as hospital use to fund their activities, primarily from the services they render to the different patients. It is equally known to be an intervention policy that is intended to change the incentives of various health organizations through the applications of the DRG systems (Collier, 2008). Through their initiatives, policymakers have been able to create a hospital funding approach that assures patients an equitable access to health care services as well as quality care. Besides, ABF has boosted the healthcare efficiency and equally increased the transparency of the budgets which promotes accountability. Based on its applications the benefits associated with the use of ABF funding have significantly increased. Currently, the funding method performs various functions including reducing the hospital costs, increasing funding as well as spending transparency and most importantly improving efficiency as well as lowering the patient’s length of stay. </w:t>
      </w:r>
    </w:p>
    <w:p w14:paraId="2FAEC574" w14:textId="77777777" w:rsidR="00B33980" w:rsidRPr="00B33980" w:rsidRDefault="00B33980" w:rsidP="00B33980">
      <w:pPr>
        <w:spacing w:after="200" w:line="480" w:lineRule="auto"/>
        <w:rPr>
          <w:rFonts w:ascii="Times New Roman" w:eastAsia="Times New Roman" w:hAnsi="Times New Roman" w:cs="Times New Roman"/>
          <w:sz w:val="24"/>
          <w:szCs w:val="24"/>
          <w:lang/>
        </w:rPr>
      </w:pPr>
      <w:r w:rsidRPr="00B33980">
        <w:rPr>
          <w:rFonts w:ascii="Times New Roman" w:eastAsia="Times New Roman" w:hAnsi="Times New Roman" w:cs="Times New Roman"/>
          <w:b/>
          <w:bCs/>
          <w:color w:val="000000"/>
          <w:sz w:val="40"/>
          <w:szCs w:val="40"/>
          <w:lang/>
        </w:rPr>
        <w:lastRenderedPageBreak/>
        <w:t>How ABF as an incentive increases accountability, efficiency and improves access to care</w:t>
      </w:r>
    </w:p>
    <w:p w14:paraId="5ED9C64F" w14:textId="77777777" w:rsidR="00B33980" w:rsidRPr="00B33980" w:rsidRDefault="00B33980" w:rsidP="00B33980">
      <w:pPr>
        <w:spacing w:after="200" w:line="480" w:lineRule="auto"/>
        <w:rPr>
          <w:rFonts w:ascii="Times New Roman" w:eastAsia="Times New Roman" w:hAnsi="Times New Roman" w:cs="Times New Roman"/>
          <w:sz w:val="24"/>
          <w:szCs w:val="24"/>
          <w:lang/>
        </w:rPr>
      </w:pPr>
      <w:r w:rsidRPr="00B33980">
        <w:rPr>
          <w:rFonts w:ascii="Times New Roman" w:eastAsia="Times New Roman" w:hAnsi="Times New Roman" w:cs="Times New Roman"/>
          <w:b/>
          <w:bCs/>
          <w:color w:val="000000"/>
          <w:sz w:val="40"/>
          <w:szCs w:val="40"/>
          <w:lang/>
        </w:rPr>
        <w:t>Accountability</w:t>
      </w:r>
    </w:p>
    <w:p w14:paraId="6399B65D" w14:textId="77777777" w:rsidR="00B33980" w:rsidRPr="00B33980" w:rsidRDefault="00B33980" w:rsidP="00B33980">
      <w:pPr>
        <w:spacing w:after="200" w:line="480" w:lineRule="auto"/>
        <w:ind w:firstLine="720"/>
        <w:rPr>
          <w:rFonts w:ascii="Times New Roman" w:eastAsia="Times New Roman" w:hAnsi="Times New Roman" w:cs="Times New Roman"/>
          <w:sz w:val="24"/>
          <w:szCs w:val="24"/>
          <w:lang/>
        </w:rPr>
      </w:pPr>
      <w:r w:rsidRPr="00B33980">
        <w:rPr>
          <w:rFonts w:ascii="Times New Roman" w:eastAsia="Times New Roman" w:hAnsi="Times New Roman" w:cs="Times New Roman"/>
          <w:color w:val="000000"/>
          <w:sz w:val="24"/>
          <w:szCs w:val="24"/>
          <w:lang/>
        </w:rPr>
        <w:t>Currently, different nations are struggling to use the activity-based funding systems as ways of increasing the transparency especially the allocations of different service-related funds as well as ensuring the hospitals receive the incentives that help them improve their efficient use of the funds given (Collier, 2008). According to studies the funds provided through this approach is always account for different complexities, volume as well as the intensity of care provided to patients with the unusual diagnosis. By applying the cost accounting systems, the funding approaches usually ensure that prospective processes are set for every service provided. As a result, ABF always ensure that transparency and accountability are enhanced, particularly the taxpayer funds which are mostly used in public hospitals. Besides it ensures that there is accountability in the performances of different healthcare systems.</w:t>
      </w:r>
    </w:p>
    <w:p w14:paraId="1AF5FCAE" w14:textId="77777777" w:rsidR="00B33980" w:rsidRPr="00B33980" w:rsidRDefault="00B33980" w:rsidP="00B33980">
      <w:pPr>
        <w:spacing w:after="200" w:line="480" w:lineRule="auto"/>
        <w:rPr>
          <w:rFonts w:ascii="Times New Roman" w:eastAsia="Times New Roman" w:hAnsi="Times New Roman" w:cs="Times New Roman"/>
          <w:sz w:val="24"/>
          <w:szCs w:val="24"/>
          <w:lang/>
        </w:rPr>
      </w:pPr>
      <w:r w:rsidRPr="00B33980">
        <w:rPr>
          <w:rFonts w:ascii="Times New Roman" w:eastAsia="Times New Roman" w:hAnsi="Times New Roman" w:cs="Times New Roman"/>
          <w:b/>
          <w:bCs/>
          <w:color w:val="000000"/>
          <w:sz w:val="40"/>
          <w:szCs w:val="40"/>
          <w:lang/>
        </w:rPr>
        <w:t>Efficiency </w:t>
      </w:r>
    </w:p>
    <w:p w14:paraId="69EB7274" w14:textId="77777777" w:rsidR="00B33980" w:rsidRPr="00B33980" w:rsidRDefault="00B33980" w:rsidP="00B33980">
      <w:pPr>
        <w:spacing w:after="200" w:line="480" w:lineRule="auto"/>
        <w:ind w:firstLine="720"/>
        <w:rPr>
          <w:rFonts w:ascii="Times New Roman" w:eastAsia="Times New Roman" w:hAnsi="Times New Roman" w:cs="Times New Roman"/>
          <w:sz w:val="24"/>
          <w:szCs w:val="24"/>
          <w:lang/>
        </w:rPr>
      </w:pPr>
      <w:r w:rsidRPr="00B33980">
        <w:rPr>
          <w:rFonts w:ascii="Times New Roman" w:eastAsia="Times New Roman" w:hAnsi="Times New Roman" w:cs="Times New Roman"/>
          <w:color w:val="000000"/>
          <w:sz w:val="24"/>
          <w:szCs w:val="24"/>
          <w:lang/>
        </w:rPr>
        <w:t>ABF is usually known for its support particularly in ensuring health services provided are effective, and the resources to be used are allocated efficiently.  These process always involve streamlining rage processes, making plans, and spending wisely (Rosenberg and Hickie, 2013). Besides, it includes ensuring the resources and different activities of the hospital are fairly and adequately funded to meet to the needs of the populations. Study reports show that hospitals under ABF funding are always better positions to acclimatize with the payments of the ABF, especially when choosing to operate more efficiently and effectively. </w:t>
      </w:r>
    </w:p>
    <w:p w14:paraId="0892C4C7" w14:textId="77777777" w:rsidR="00B33980" w:rsidRPr="00B33980" w:rsidRDefault="00B33980" w:rsidP="00B33980">
      <w:pPr>
        <w:spacing w:after="200" w:line="480" w:lineRule="auto"/>
        <w:rPr>
          <w:rFonts w:ascii="Times New Roman" w:eastAsia="Times New Roman" w:hAnsi="Times New Roman" w:cs="Times New Roman"/>
          <w:sz w:val="24"/>
          <w:szCs w:val="24"/>
          <w:lang/>
        </w:rPr>
      </w:pPr>
      <w:r w:rsidRPr="00B33980">
        <w:rPr>
          <w:rFonts w:ascii="Times New Roman" w:eastAsia="Times New Roman" w:hAnsi="Times New Roman" w:cs="Times New Roman"/>
          <w:b/>
          <w:bCs/>
          <w:color w:val="000000"/>
          <w:sz w:val="40"/>
          <w:szCs w:val="40"/>
          <w:lang/>
        </w:rPr>
        <w:t>Access</w:t>
      </w:r>
    </w:p>
    <w:p w14:paraId="0193CAB5" w14:textId="77777777" w:rsidR="00B33980" w:rsidRPr="00B33980" w:rsidRDefault="00B33980" w:rsidP="00B33980">
      <w:pPr>
        <w:spacing w:after="200" w:line="480" w:lineRule="auto"/>
        <w:ind w:firstLine="720"/>
        <w:rPr>
          <w:rFonts w:ascii="Times New Roman" w:eastAsia="Times New Roman" w:hAnsi="Times New Roman" w:cs="Times New Roman"/>
          <w:sz w:val="24"/>
          <w:szCs w:val="24"/>
          <w:lang/>
        </w:rPr>
      </w:pPr>
      <w:r w:rsidRPr="00B33980">
        <w:rPr>
          <w:rFonts w:ascii="Times New Roman" w:eastAsia="Times New Roman" w:hAnsi="Times New Roman" w:cs="Times New Roman"/>
          <w:color w:val="000000"/>
          <w:sz w:val="24"/>
          <w:szCs w:val="24"/>
          <w:lang/>
        </w:rPr>
        <w:lastRenderedPageBreak/>
        <w:t>ABF always guarantees equal patient access to a comprehensive as well as integrated Healthcare Services. ABF tend to accomplish this goal in different ways including incenting the healthcare providers to reallocate their resources to improve access to various health care services better (Rosenberg and Hickie, 2013. This approach usually helps reduce the wait times commonly experienced in specific types of medical procedures. Above all, ABF always ensures that particular populations with apparent inequities get better access to care. </w:t>
      </w:r>
    </w:p>
    <w:p w14:paraId="1DD42F03" w14:textId="77777777" w:rsidR="00B33980" w:rsidRPr="00B33980" w:rsidRDefault="00B33980" w:rsidP="00B33980">
      <w:pPr>
        <w:spacing w:after="200" w:line="480" w:lineRule="auto"/>
        <w:rPr>
          <w:rFonts w:ascii="Times New Roman" w:eastAsia="Times New Roman" w:hAnsi="Times New Roman" w:cs="Times New Roman"/>
          <w:sz w:val="24"/>
          <w:szCs w:val="24"/>
          <w:lang/>
        </w:rPr>
      </w:pPr>
      <w:r w:rsidRPr="00B33980">
        <w:rPr>
          <w:rFonts w:ascii="Times New Roman" w:eastAsia="Times New Roman" w:hAnsi="Times New Roman" w:cs="Times New Roman"/>
          <w:b/>
          <w:bCs/>
          <w:color w:val="000000"/>
          <w:sz w:val="40"/>
          <w:szCs w:val="40"/>
          <w:lang/>
        </w:rPr>
        <w:t>Currently non-funded ABF health service provision activities</w:t>
      </w:r>
    </w:p>
    <w:p w14:paraId="701C54D7" w14:textId="77777777" w:rsidR="00B33980" w:rsidRPr="00B33980" w:rsidRDefault="00B33980" w:rsidP="00B33980">
      <w:pPr>
        <w:spacing w:after="200" w:line="480" w:lineRule="auto"/>
        <w:ind w:firstLine="720"/>
        <w:rPr>
          <w:rFonts w:ascii="Times New Roman" w:eastAsia="Times New Roman" w:hAnsi="Times New Roman" w:cs="Times New Roman"/>
          <w:sz w:val="24"/>
          <w:szCs w:val="24"/>
          <w:lang/>
        </w:rPr>
      </w:pPr>
      <w:r w:rsidRPr="00B33980">
        <w:rPr>
          <w:rFonts w:ascii="Times New Roman" w:eastAsia="Times New Roman" w:hAnsi="Times New Roman" w:cs="Times New Roman"/>
          <w:color w:val="000000"/>
          <w:sz w:val="24"/>
          <w:szCs w:val="24"/>
          <w:lang/>
        </w:rPr>
        <w:t>Despite the positive outcomes realized from the ABF funding, there always exist specific provisions that often hinder the organizations from funding particular health-related services and hospitals (Collier, 2008). The criteria for blocked financing are often based on the legibility as well as the technical requirements of the hospital or services to be provided. Some of the categories of services that are currently not funded by ABF include the mental health services for non-admitted as well as the non-admitted services. Besides, they don’t support small rural hospitals as well as teaching, training and research activities.</w:t>
      </w:r>
    </w:p>
    <w:p w14:paraId="09EF9DC7" w14:textId="77777777" w:rsidR="00B33980" w:rsidRPr="00B33980" w:rsidRDefault="00B33980" w:rsidP="00B33980">
      <w:pPr>
        <w:spacing w:after="200" w:line="480" w:lineRule="auto"/>
        <w:rPr>
          <w:rFonts w:ascii="Times New Roman" w:eastAsia="Times New Roman" w:hAnsi="Times New Roman" w:cs="Times New Roman"/>
          <w:sz w:val="24"/>
          <w:szCs w:val="24"/>
          <w:lang/>
        </w:rPr>
      </w:pPr>
      <w:r w:rsidRPr="00B33980">
        <w:rPr>
          <w:rFonts w:ascii="Times New Roman" w:eastAsia="Times New Roman" w:hAnsi="Times New Roman" w:cs="Times New Roman"/>
          <w:b/>
          <w:bCs/>
          <w:color w:val="000000"/>
          <w:sz w:val="40"/>
          <w:szCs w:val="40"/>
          <w:lang/>
        </w:rPr>
        <w:t>Case-mix-based management information systems</w:t>
      </w:r>
    </w:p>
    <w:p w14:paraId="4884991C" w14:textId="77777777" w:rsidR="00B33980" w:rsidRPr="00B33980" w:rsidRDefault="00B33980" w:rsidP="00B33980">
      <w:pPr>
        <w:spacing w:after="200" w:line="480" w:lineRule="auto"/>
        <w:ind w:firstLine="720"/>
        <w:rPr>
          <w:rFonts w:ascii="Times New Roman" w:eastAsia="Times New Roman" w:hAnsi="Times New Roman" w:cs="Times New Roman"/>
          <w:sz w:val="24"/>
          <w:szCs w:val="24"/>
          <w:lang/>
        </w:rPr>
      </w:pPr>
      <w:r w:rsidRPr="00B33980">
        <w:rPr>
          <w:rFonts w:ascii="Times New Roman" w:eastAsia="Times New Roman" w:hAnsi="Times New Roman" w:cs="Times New Roman"/>
          <w:color w:val="000000"/>
          <w:sz w:val="24"/>
          <w:szCs w:val="24"/>
          <w:lang/>
        </w:rPr>
        <w:t xml:space="preserve">Over the years the roles played by the nursing managers have significantly evolved from a simple clinician to a bed manager with evidence-based practice accountability and recently to a budget liability personnel (Hovenga, 1996). While undertaking most of these roles, it is always understood that Case-mix data ted to a play a crucial role particularly in the provision of the information commonly used for financial management and effective decision making. According to studies, Case-mix is widely known to be a scientific method that is used to produce </w:t>
      </w:r>
      <w:r w:rsidRPr="00B33980">
        <w:rPr>
          <w:rFonts w:ascii="Times New Roman" w:eastAsia="Times New Roman" w:hAnsi="Times New Roman" w:cs="Times New Roman"/>
          <w:color w:val="000000"/>
          <w:sz w:val="24"/>
          <w:szCs w:val="24"/>
          <w:lang/>
        </w:rPr>
        <w:lastRenderedPageBreak/>
        <w:t>information about healthcare, which is based upon episode classifications of the patient care that improves the management of a health system.</w:t>
      </w:r>
    </w:p>
    <w:p w14:paraId="21F29B65" w14:textId="77777777" w:rsidR="00B33980" w:rsidRPr="00B33980" w:rsidRDefault="00B33980" w:rsidP="00B33980">
      <w:pPr>
        <w:spacing w:after="200" w:line="480" w:lineRule="auto"/>
        <w:rPr>
          <w:rFonts w:ascii="Times New Roman" w:eastAsia="Times New Roman" w:hAnsi="Times New Roman" w:cs="Times New Roman"/>
          <w:sz w:val="24"/>
          <w:szCs w:val="24"/>
          <w:lang/>
        </w:rPr>
      </w:pPr>
      <w:r w:rsidRPr="00B33980">
        <w:rPr>
          <w:rFonts w:ascii="Times New Roman" w:eastAsia="Times New Roman" w:hAnsi="Times New Roman" w:cs="Times New Roman"/>
          <w:b/>
          <w:bCs/>
          <w:color w:val="000000"/>
          <w:sz w:val="40"/>
          <w:szCs w:val="40"/>
          <w:lang/>
        </w:rPr>
        <w:t>Types of information case-mix-based management systems</w:t>
      </w:r>
    </w:p>
    <w:p w14:paraId="73402B75" w14:textId="77777777" w:rsidR="00B33980" w:rsidRPr="00B33980" w:rsidRDefault="00B33980" w:rsidP="00B33980">
      <w:pPr>
        <w:spacing w:after="200" w:line="480" w:lineRule="auto"/>
        <w:ind w:firstLine="720"/>
        <w:rPr>
          <w:rFonts w:ascii="Times New Roman" w:eastAsia="Times New Roman" w:hAnsi="Times New Roman" w:cs="Times New Roman"/>
          <w:sz w:val="24"/>
          <w:szCs w:val="24"/>
          <w:lang/>
        </w:rPr>
      </w:pPr>
      <w:r w:rsidRPr="00B33980">
        <w:rPr>
          <w:rFonts w:ascii="Times New Roman" w:eastAsia="Times New Roman" w:hAnsi="Times New Roman" w:cs="Times New Roman"/>
          <w:color w:val="000000"/>
          <w:sz w:val="24"/>
          <w:szCs w:val="24"/>
          <w:lang/>
        </w:rPr>
        <w:t>With the booming populations and escalating health care costs taking a centre stage in various healthcare activities, there has been a compelling need among the healthcare providers to have a system that could help control the healthcare cost through a proactive planning ad better resource allocation (Hovenga, 1996). In light of these needs, medical organizations have developed different case-mix management based information system to help with the healthcare problem that was taking the toll of many organizations. Diagnosis Related Groups is one of the case-mix information systems commonly used to categorize different in-patients who are receiving acute healthcare based on their primary diagnosis. </w:t>
      </w:r>
    </w:p>
    <w:p w14:paraId="7FD0296D" w14:textId="77777777" w:rsidR="00B33980" w:rsidRPr="00B33980" w:rsidRDefault="00B33980" w:rsidP="00B33980">
      <w:pPr>
        <w:spacing w:after="200" w:line="480" w:lineRule="auto"/>
        <w:ind w:firstLine="720"/>
        <w:rPr>
          <w:rFonts w:ascii="Times New Roman" w:eastAsia="Times New Roman" w:hAnsi="Times New Roman" w:cs="Times New Roman"/>
          <w:sz w:val="24"/>
          <w:szCs w:val="24"/>
          <w:lang/>
        </w:rPr>
      </w:pPr>
      <w:r w:rsidRPr="00B33980">
        <w:rPr>
          <w:rFonts w:ascii="Times New Roman" w:eastAsia="Times New Roman" w:hAnsi="Times New Roman" w:cs="Times New Roman"/>
          <w:color w:val="000000"/>
          <w:sz w:val="24"/>
          <w:szCs w:val="24"/>
          <w:lang/>
        </w:rPr>
        <w:t>In the wake of this growth and expanding use of the Casemix-based management system, new classification systems of case-mix information have been generated to serve different purposes. In the U.S., HCFA, as well as the federal government, are some of the agencies that have employed these information systems for various purposes (Hovenga, 1996). For example, the AN-DRGs systems are one of the prospective Medicare payments systems that have been used in the United States since 1983 help allocate healthcare resources. Other forms of case-mix information system developed and used by different countries include Australian Ambulatory Classification system commonly used in a specialized paediatric hospital. </w:t>
      </w:r>
    </w:p>
    <w:p w14:paraId="6FD23999" w14:textId="77777777" w:rsidR="00B33980" w:rsidRPr="00B33980" w:rsidRDefault="00B33980" w:rsidP="00B33980">
      <w:pPr>
        <w:spacing w:after="200" w:line="480" w:lineRule="auto"/>
        <w:ind w:firstLine="720"/>
        <w:rPr>
          <w:rFonts w:ascii="Times New Roman" w:eastAsia="Times New Roman" w:hAnsi="Times New Roman" w:cs="Times New Roman"/>
          <w:sz w:val="24"/>
          <w:szCs w:val="24"/>
          <w:lang/>
        </w:rPr>
      </w:pPr>
      <w:r w:rsidRPr="00B33980">
        <w:rPr>
          <w:rFonts w:ascii="Times New Roman" w:eastAsia="Times New Roman" w:hAnsi="Times New Roman" w:cs="Times New Roman"/>
          <w:color w:val="000000"/>
          <w:sz w:val="24"/>
          <w:szCs w:val="24"/>
          <w:lang/>
        </w:rPr>
        <w:t xml:space="preserve">Besides, there is Non-Acute Inpatient (NAIP) system which commonly suits inpatients whose conditions requires institutionalized care (Hovenga, 1996). It is also used to help patients who need nursing maintenance as well as patients awaiting placemats in other care settings. In California, systems such as CLTC and FIM information system are commonly applied. For </w:t>
      </w:r>
      <w:r w:rsidRPr="00B33980">
        <w:rPr>
          <w:rFonts w:ascii="Times New Roman" w:eastAsia="Times New Roman" w:hAnsi="Times New Roman" w:cs="Times New Roman"/>
          <w:color w:val="000000"/>
          <w:sz w:val="24"/>
          <w:szCs w:val="24"/>
          <w:lang/>
        </w:rPr>
        <w:lastRenderedPageBreak/>
        <w:t>instance, CLTC is often used to manage various data in nursing homes while FIM is used for patients with care burden and functional abilities. In the USA, there exist case-mix systems such as Ambulatory Care Groups, Ambulatory Patient Groups, Ambulatory Service Weighting as well as System, Ambulatory Visit Groups. Others systems developed within the country include the Psychiatric Patient Classes commonly used for in patients with acute psychiatric episodes.</w:t>
      </w:r>
    </w:p>
    <w:p w14:paraId="6EF89E49" w14:textId="77777777" w:rsidR="00B33980" w:rsidRPr="00B33980" w:rsidRDefault="00B33980" w:rsidP="00B33980">
      <w:pPr>
        <w:spacing w:after="200" w:line="480" w:lineRule="auto"/>
        <w:rPr>
          <w:rFonts w:ascii="Times New Roman" w:eastAsia="Times New Roman" w:hAnsi="Times New Roman" w:cs="Times New Roman"/>
          <w:sz w:val="24"/>
          <w:szCs w:val="24"/>
          <w:lang/>
        </w:rPr>
      </w:pPr>
      <w:r w:rsidRPr="00B33980">
        <w:rPr>
          <w:rFonts w:ascii="Times New Roman" w:eastAsia="Times New Roman" w:hAnsi="Times New Roman" w:cs="Times New Roman"/>
          <w:b/>
          <w:bCs/>
          <w:color w:val="000000"/>
          <w:sz w:val="40"/>
          <w:szCs w:val="40"/>
          <w:lang/>
        </w:rPr>
        <w:t>Uses of Case-mix information</w:t>
      </w:r>
    </w:p>
    <w:p w14:paraId="52DD5286" w14:textId="77777777" w:rsidR="00B33980" w:rsidRPr="00B33980" w:rsidRDefault="00B33980" w:rsidP="00B33980">
      <w:pPr>
        <w:spacing w:after="200" w:line="480" w:lineRule="auto"/>
        <w:rPr>
          <w:rFonts w:ascii="Times New Roman" w:eastAsia="Times New Roman" w:hAnsi="Times New Roman" w:cs="Times New Roman"/>
          <w:sz w:val="24"/>
          <w:szCs w:val="24"/>
          <w:lang/>
        </w:rPr>
      </w:pPr>
      <w:r w:rsidRPr="00B33980">
        <w:rPr>
          <w:rFonts w:ascii="Times New Roman" w:eastAsia="Times New Roman" w:hAnsi="Times New Roman" w:cs="Times New Roman"/>
          <w:b/>
          <w:bCs/>
          <w:color w:val="000000"/>
          <w:sz w:val="40"/>
          <w:szCs w:val="40"/>
          <w:lang/>
        </w:rPr>
        <w:t>Financial planning </w:t>
      </w:r>
    </w:p>
    <w:p w14:paraId="0FB3D033" w14:textId="77777777" w:rsidR="00B33980" w:rsidRPr="00B33980" w:rsidRDefault="00B33980" w:rsidP="00B33980">
      <w:pPr>
        <w:spacing w:after="200" w:line="480" w:lineRule="auto"/>
        <w:ind w:firstLine="720"/>
        <w:rPr>
          <w:rFonts w:ascii="Times New Roman" w:eastAsia="Times New Roman" w:hAnsi="Times New Roman" w:cs="Times New Roman"/>
          <w:sz w:val="24"/>
          <w:szCs w:val="24"/>
          <w:lang/>
        </w:rPr>
      </w:pPr>
      <w:r w:rsidRPr="00B33980">
        <w:rPr>
          <w:rFonts w:ascii="Times New Roman" w:eastAsia="Times New Roman" w:hAnsi="Times New Roman" w:cs="Times New Roman"/>
          <w:color w:val="000000"/>
          <w:sz w:val="24"/>
          <w:szCs w:val="24"/>
          <w:lang/>
        </w:rPr>
        <w:t>The information generated by the Case-mix is mostly used for various healthcare funding purposes. As a tool for decision making, Case-mix use often centre on finance and costing aspects of healthcare systems (Hovenga, 1996). Since most financial and clinical information requires merging to become effective, the operational clinicians, executives as well as corporate management always apply the data from the case-mix systems to regulate costs and most importantly set the medical prices. For instance, in Tasmania, information from case-mix systems is mostly integrated within the Resource Allocation Model to help in costing the inter-regional patient flows </w:t>
      </w:r>
    </w:p>
    <w:p w14:paraId="0046EF20" w14:textId="77777777" w:rsidR="00B33980" w:rsidRPr="00B33980" w:rsidRDefault="00B33980" w:rsidP="00B33980">
      <w:pPr>
        <w:spacing w:after="200" w:line="480" w:lineRule="auto"/>
        <w:rPr>
          <w:rFonts w:ascii="Times New Roman" w:eastAsia="Times New Roman" w:hAnsi="Times New Roman" w:cs="Times New Roman"/>
          <w:sz w:val="24"/>
          <w:szCs w:val="24"/>
          <w:lang/>
        </w:rPr>
      </w:pPr>
      <w:r w:rsidRPr="00B33980">
        <w:rPr>
          <w:rFonts w:ascii="Times New Roman" w:eastAsia="Times New Roman" w:hAnsi="Times New Roman" w:cs="Times New Roman"/>
          <w:b/>
          <w:bCs/>
          <w:color w:val="000000"/>
          <w:sz w:val="40"/>
          <w:szCs w:val="40"/>
          <w:lang/>
        </w:rPr>
        <w:t>Management</w:t>
      </w:r>
    </w:p>
    <w:p w14:paraId="3C5053C0" w14:textId="77777777" w:rsidR="00B33980" w:rsidRPr="00B33980" w:rsidRDefault="00B33980" w:rsidP="00B33980">
      <w:pPr>
        <w:spacing w:after="200" w:line="480" w:lineRule="auto"/>
        <w:ind w:firstLine="720"/>
        <w:rPr>
          <w:rFonts w:ascii="Times New Roman" w:eastAsia="Times New Roman" w:hAnsi="Times New Roman" w:cs="Times New Roman"/>
          <w:sz w:val="24"/>
          <w:szCs w:val="24"/>
          <w:lang/>
        </w:rPr>
      </w:pPr>
      <w:r w:rsidRPr="00B33980">
        <w:rPr>
          <w:rFonts w:ascii="Times New Roman" w:eastAsia="Times New Roman" w:hAnsi="Times New Roman" w:cs="Times New Roman"/>
          <w:color w:val="000000"/>
          <w:sz w:val="24"/>
          <w:szCs w:val="24"/>
          <w:lang/>
        </w:rPr>
        <w:t>In different healthcare settings, patient dependency systems which are concerned with care requirements and patient characteristics are commonly applied as a way of predicting the resource needs associated with nursing resource needs (Hovenga, 1996). In such instance, the nurse managers often use this case-mix based management information to accomplish different purposes such as planning, strategic management, developing weights of nursing service and for costing the different nursing services. Most of these management activities largely depend on timely and accurate information processing.</w:t>
      </w:r>
    </w:p>
    <w:p w14:paraId="70A9BE45" w14:textId="77777777" w:rsidR="00B33980" w:rsidRPr="00B33980" w:rsidRDefault="00B33980" w:rsidP="00B33980">
      <w:pPr>
        <w:spacing w:after="200" w:line="480" w:lineRule="auto"/>
        <w:rPr>
          <w:rFonts w:ascii="Times New Roman" w:eastAsia="Times New Roman" w:hAnsi="Times New Roman" w:cs="Times New Roman"/>
          <w:sz w:val="24"/>
          <w:szCs w:val="24"/>
          <w:lang/>
        </w:rPr>
      </w:pPr>
      <w:r w:rsidRPr="00B33980">
        <w:rPr>
          <w:rFonts w:ascii="Times New Roman" w:eastAsia="Times New Roman" w:hAnsi="Times New Roman" w:cs="Times New Roman"/>
          <w:b/>
          <w:bCs/>
          <w:color w:val="000000"/>
          <w:sz w:val="40"/>
          <w:szCs w:val="40"/>
          <w:lang/>
        </w:rPr>
        <w:lastRenderedPageBreak/>
        <w:t>Quality</w:t>
      </w:r>
    </w:p>
    <w:p w14:paraId="3AF55D45" w14:textId="77777777" w:rsidR="00B33980" w:rsidRPr="00B33980" w:rsidRDefault="00B33980" w:rsidP="00B33980">
      <w:pPr>
        <w:spacing w:after="200" w:line="480" w:lineRule="auto"/>
        <w:ind w:firstLine="720"/>
        <w:rPr>
          <w:rFonts w:ascii="Times New Roman" w:eastAsia="Times New Roman" w:hAnsi="Times New Roman" w:cs="Times New Roman"/>
          <w:sz w:val="24"/>
          <w:szCs w:val="24"/>
          <w:lang/>
        </w:rPr>
      </w:pPr>
      <w:r w:rsidRPr="00B33980">
        <w:rPr>
          <w:rFonts w:ascii="Times New Roman" w:eastAsia="Times New Roman" w:hAnsi="Times New Roman" w:cs="Times New Roman"/>
          <w:color w:val="000000"/>
          <w:sz w:val="24"/>
          <w:szCs w:val="24"/>
          <w:lang/>
        </w:rPr>
        <w:t>Currently, many hospitals have gone great lengths of developing clinical paths ensure that high cost or volume of AN-DRGs information is used in management to help achieve this goal. Most of the care plans generated from these clinical paths are always crucial in realizing high-quality care, optimum resource application, collaboration as well as effective communication between different disciplines (Hovenga, 1996). These standardized health care plans mostly help expedite computerization of various clinical data, which in turn helps in improving the volume of clinical research which is done at a lesser cost.</w:t>
      </w:r>
    </w:p>
    <w:p w14:paraId="7207F1CF" w14:textId="77777777" w:rsidR="00B33980" w:rsidRPr="00B33980" w:rsidRDefault="00B33980" w:rsidP="00B33980">
      <w:pPr>
        <w:spacing w:after="200" w:line="480" w:lineRule="auto"/>
        <w:rPr>
          <w:rFonts w:ascii="Times New Roman" w:eastAsia="Times New Roman" w:hAnsi="Times New Roman" w:cs="Times New Roman"/>
          <w:sz w:val="24"/>
          <w:szCs w:val="24"/>
          <w:lang/>
        </w:rPr>
      </w:pPr>
      <w:r w:rsidRPr="00B33980">
        <w:rPr>
          <w:rFonts w:ascii="Times New Roman" w:eastAsia="Times New Roman" w:hAnsi="Times New Roman" w:cs="Times New Roman"/>
          <w:b/>
          <w:bCs/>
          <w:color w:val="000000"/>
          <w:sz w:val="40"/>
          <w:szCs w:val="40"/>
          <w:lang/>
        </w:rPr>
        <w:t>Case-mix based management concerns regarding the quality of care and ways of addressing them.</w:t>
      </w:r>
    </w:p>
    <w:p w14:paraId="35D498EC" w14:textId="77777777" w:rsidR="00B33980" w:rsidRPr="00B33980" w:rsidRDefault="00B33980" w:rsidP="00B33980">
      <w:pPr>
        <w:spacing w:after="200" w:line="480" w:lineRule="auto"/>
        <w:ind w:firstLine="720"/>
        <w:rPr>
          <w:rFonts w:ascii="Times New Roman" w:eastAsia="Times New Roman" w:hAnsi="Times New Roman" w:cs="Times New Roman"/>
          <w:sz w:val="24"/>
          <w:szCs w:val="24"/>
          <w:lang/>
        </w:rPr>
      </w:pPr>
      <w:r w:rsidRPr="00B33980">
        <w:rPr>
          <w:rFonts w:ascii="Times New Roman" w:eastAsia="Times New Roman" w:hAnsi="Times New Roman" w:cs="Times New Roman"/>
          <w:color w:val="000000"/>
          <w:sz w:val="24"/>
          <w:szCs w:val="24"/>
          <w:lang/>
        </w:rPr>
        <w:t>Under the case mix based management, there are different concerns related to the quality of care that has been raised by many healthcare providers. Most of these concerns usually include products costing and the clinical costing systems among many others (Hovenga, 1996). While considering the quality of care provided, most healthcare organizations are always perturbed by different products costing related issues. For instance, they always find it challenging to directly relate the costs incurred while providing the clinical services to the patients’ generated workload, the material used and the numbers of staff employed to provide the service.</w:t>
      </w:r>
    </w:p>
    <w:p w14:paraId="37FB5FFD" w14:textId="77777777" w:rsidR="00B33980" w:rsidRPr="00B33980" w:rsidRDefault="00B33980" w:rsidP="00B33980">
      <w:pPr>
        <w:spacing w:after="200" w:line="480" w:lineRule="auto"/>
        <w:ind w:firstLine="720"/>
        <w:rPr>
          <w:rFonts w:ascii="Times New Roman" w:eastAsia="Times New Roman" w:hAnsi="Times New Roman" w:cs="Times New Roman"/>
          <w:sz w:val="24"/>
          <w:szCs w:val="24"/>
          <w:lang/>
        </w:rPr>
      </w:pPr>
      <w:r w:rsidRPr="00B33980">
        <w:rPr>
          <w:rFonts w:ascii="Times New Roman" w:eastAsia="Times New Roman" w:hAnsi="Times New Roman" w:cs="Times New Roman"/>
          <w:color w:val="000000"/>
          <w:sz w:val="24"/>
          <w:szCs w:val="24"/>
          <w:lang/>
        </w:rPr>
        <w:t xml:space="preserve">On clinical costing system, various concerns have been raised on whether the cost for obtaining the case mix based management information is always comparative to the benefits owing to the high cots usually incurred while maintaining and implementing of the clinical costing system (Hovenga, 1996). However, there are ways through which these concerned discussed above can be addressed, for instance, products costing problems cans be addressed </w:t>
      </w:r>
      <w:r w:rsidRPr="00B33980">
        <w:rPr>
          <w:rFonts w:ascii="Times New Roman" w:eastAsia="Times New Roman" w:hAnsi="Times New Roman" w:cs="Times New Roman"/>
          <w:color w:val="000000"/>
          <w:sz w:val="24"/>
          <w:szCs w:val="24"/>
          <w:lang/>
        </w:rPr>
        <w:lastRenderedPageBreak/>
        <w:t>through the use of a Case-mix-based funding  while the clinical cost system can be addressed through the use of feeder systems such as monitoring systems for nursing workload as well as the use of departmental based systems.</w:t>
      </w:r>
    </w:p>
    <w:p w14:paraId="419E46F9" w14:textId="77777777" w:rsidR="00B33980" w:rsidRPr="00B33980" w:rsidRDefault="00B33980" w:rsidP="00B33980">
      <w:pPr>
        <w:spacing w:after="200" w:line="480" w:lineRule="auto"/>
        <w:rPr>
          <w:rFonts w:ascii="Times New Roman" w:eastAsia="Times New Roman" w:hAnsi="Times New Roman" w:cs="Times New Roman"/>
          <w:sz w:val="24"/>
          <w:szCs w:val="24"/>
          <w:lang/>
        </w:rPr>
      </w:pPr>
      <w:r w:rsidRPr="00B33980">
        <w:rPr>
          <w:rFonts w:ascii="Times New Roman" w:eastAsia="Times New Roman" w:hAnsi="Times New Roman" w:cs="Times New Roman"/>
          <w:b/>
          <w:bCs/>
          <w:color w:val="000000"/>
          <w:sz w:val="40"/>
          <w:szCs w:val="40"/>
          <w:lang/>
        </w:rPr>
        <w:t>Conclusion </w:t>
      </w:r>
    </w:p>
    <w:p w14:paraId="7015A508" w14:textId="77777777" w:rsidR="00B33980" w:rsidRPr="00B33980" w:rsidRDefault="00B33980" w:rsidP="00B33980">
      <w:pPr>
        <w:spacing w:after="200" w:line="480" w:lineRule="auto"/>
        <w:ind w:firstLine="720"/>
        <w:rPr>
          <w:rFonts w:ascii="Times New Roman" w:eastAsia="Times New Roman" w:hAnsi="Times New Roman" w:cs="Times New Roman"/>
          <w:sz w:val="24"/>
          <w:szCs w:val="24"/>
          <w:lang/>
        </w:rPr>
      </w:pPr>
      <w:r w:rsidRPr="00B33980">
        <w:rPr>
          <w:rFonts w:ascii="Times New Roman" w:eastAsia="Times New Roman" w:hAnsi="Times New Roman" w:cs="Times New Roman"/>
          <w:color w:val="000000"/>
          <w:sz w:val="24"/>
          <w:szCs w:val="24"/>
          <w:lang/>
        </w:rPr>
        <w:t>Based on the issue articulated in this study, it becomes apparent that health economic takes a central role in the management of various care based activities and interventions within the healthcare system. This is because it addressed significant economic issues such as resources allocation, the quantity of resources that used in service delivery as well as the efficiency surrounding the allocations of resources.</w:t>
      </w:r>
    </w:p>
    <w:p w14:paraId="0969174D" w14:textId="77777777" w:rsidR="00B33980" w:rsidRPr="00B33980" w:rsidRDefault="00B33980" w:rsidP="00B33980">
      <w:pPr>
        <w:spacing w:after="200" w:line="480" w:lineRule="auto"/>
        <w:rPr>
          <w:rFonts w:ascii="Times New Roman" w:eastAsia="Times New Roman" w:hAnsi="Times New Roman" w:cs="Times New Roman"/>
          <w:sz w:val="24"/>
          <w:szCs w:val="24"/>
          <w:lang/>
        </w:rPr>
      </w:pPr>
      <w:r w:rsidRPr="00B33980">
        <w:rPr>
          <w:rFonts w:ascii="Times New Roman" w:eastAsia="Times New Roman" w:hAnsi="Times New Roman" w:cs="Times New Roman"/>
          <w:b/>
          <w:bCs/>
          <w:color w:val="000000"/>
          <w:sz w:val="40"/>
          <w:szCs w:val="40"/>
          <w:lang/>
        </w:rPr>
        <w:t>Bibliographies</w:t>
      </w:r>
    </w:p>
    <w:p w14:paraId="1FAF8DF6" w14:textId="77777777" w:rsidR="00B33980" w:rsidRPr="00B33980" w:rsidRDefault="00B33980" w:rsidP="00B33980">
      <w:pPr>
        <w:spacing w:after="200" w:line="480" w:lineRule="auto"/>
        <w:ind w:firstLine="992"/>
        <w:rPr>
          <w:rFonts w:ascii="Times New Roman" w:eastAsia="Times New Roman" w:hAnsi="Times New Roman" w:cs="Times New Roman"/>
          <w:sz w:val="24"/>
          <w:szCs w:val="24"/>
          <w:lang/>
        </w:rPr>
      </w:pPr>
      <w:r w:rsidRPr="00B33980">
        <w:rPr>
          <w:rFonts w:ascii="Times New Roman" w:eastAsia="Times New Roman" w:hAnsi="Times New Roman" w:cs="Times New Roman"/>
          <w:color w:val="000000"/>
          <w:sz w:val="24"/>
          <w:szCs w:val="24"/>
          <w:lang/>
        </w:rPr>
        <w:t xml:space="preserve">Biørn, E., Hagen, T.P., Iversen, T. and Magnussen, J., 2003. The effect of activity-based financing on hospital efficiency: a panel data analysis of DEA efficiency scores 1992–2000. </w:t>
      </w:r>
      <w:r w:rsidRPr="00B33980">
        <w:rPr>
          <w:rFonts w:ascii="Times New Roman" w:eastAsia="Times New Roman" w:hAnsi="Times New Roman" w:cs="Times New Roman"/>
          <w:i/>
          <w:iCs/>
          <w:color w:val="000000"/>
          <w:sz w:val="24"/>
          <w:szCs w:val="24"/>
          <w:lang/>
        </w:rPr>
        <w:t>Health care management science</w:t>
      </w:r>
      <w:r w:rsidRPr="00B33980">
        <w:rPr>
          <w:rFonts w:ascii="Times New Roman" w:eastAsia="Times New Roman" w:hAnsi="Times New Roman" w:cs="Times New Roman"/>
          <w:color w:val="000000"/>
          <w:sz w:val="24"/>
          <w:szCs w:val="24"/>
          <w:lang/>
        </w:rPr>
        <w:t xml:space="preserve">, </w:t>
      </w:r>
      <w:r w:rsidRPr="00B33980">
        <w:rPr>
          <w:rFonts w:ascii="Times New Roman" w:eastAsia="Times New Roman" w:hAnsi="Times New Roman" w:cs="Times New Roman"/>
          <w:i/>
          <w:iCs/>
          <w:color w:val="000000"/>
          <w:sz w:val="24"/>
          <w:szCs w:val="24"/>
          <w:lang/>
        </w:rPr>
        <w:t>6</w:t>
      </w:r>
      <w:r w:rsidRPr="00B33980">
        <w:rPr>
          <w:rFonts w:ascii="Times New Roman" w:eastAsia="Times New Roman" w:hAnsi="Times New Roman" w:cs="Times New Roman"/>
          <w:color w:val="000000"/>
          <w:sz w:val="24"/>
          <w:szCs w:val="24"/>
          <w:lang/>
        </w:rPr>
        <w:t>(4), pp.271-283.</w:t>
      </w:r>
    </w:p>
    <w:p w14:paraId="2CE5D78E" w14:textId="77777777" w:rsidR="00B33980" w:rsidRPr="00B33980" w:rsidRDefault="00B33980" w:rsidP="00B33980">
      <w:pPr>
        <w:spacing w:after="200" w:line="480" w:lineRule="auto"/>
        <w:ind w:firstLine="992"/>
        <w:rPr>
          <w:rFonts w:ascii="Times New Roman" w:eastAsia="Times New Roman" w:hAnsi="Times New Roman" w:cs="Times New Roman"/>
          <w:sz w:val="24"/>
          <w:szCs w:val="24"/>
          <w:lang/>
        </w:rPr>
      </w:pPr>
      <w:r w:rsidRPr="00B33980">
        <w:rPr>
          <w:rFonts w:ascii="Times New Roman" w:eastAsia="Times New Roman" w:hAnsi="Times New Roman" w:cs="Times New Roman"/>
          <w:color w:val="000000"/>
          <w:sz w:val="24"/>
          <w:szCs w:val="24"/>
          <w:lang/>
        </w:rPr>
        <w:t>Collier, R., 2008. Activity-based hospital funding: boon or boondoggle?.</w:t>
      </w:r>
    </w:p>
    <w:p w14:paraId="088B3D7A" w14:textId="77777777" w:rsidR="00B33980" w:rsidRPr="00B33980" w:rsidRDefault="00B33980" w:rsidP="00B33980">
      <w:pPr>
        <w:spacing w:after="200" w:line="480" w:lineRule="auto"/>
        <w:ind w:firstLine="992"/>
        <w:rPr>
          <w:rFonts w:ascii="Times New Roman" w:eastAsia="Times New Roman" w:hAnsi="Times New Roman" w:cs="Times New Roman"/>
          <w:sz w:val="24"/>
          <w:szCs w:val="24"/>
          <w:lang/>
        </w:rPr>
      </w:pPr>
      <w:r w:rsidRPr="00B33980">
        <w:rPr>
          <w:rFonts w:ascii="Times New Roman" w:eastAsia="Times New Roman" w:hAnsi="Times New Roman" w:cs="Times New Roman"/>
          <w:color w:val="000000"/>
          <w:sz w:val="24"/>
          <w:szCs w:val="24"/>
          <w:lang/>
        </w:rPr>
        <w:t xml:space="preserve">Feldstein, P.J., 2012. </w:t>
      </w:r>
      <w:r w:rsidRPr="00B33980">
        <w:rPr>
          <w:rFonts w:ascii="Times New Roman" w:eastAsia="Times New Roman" w:hAnsi="Times New Roman" w:cs="Times New Roman"/>
          <w:i/>
          <w:iCs/>
          <w:color w:val="000000"/>
          <w:sz w:val="24"/>
          <w:szCs w:val="24"/>
          <w:lang/>
        </w:rPr>
        <w:t>Health care economics</w:t>
      </w:r>
      <w:r w:rsidRPr="00B33980">
        <w:rPr>
          <w:rFonts w:ascii="Times New Roman" w:eastAsia="Times New Roman" w:hAnsi="Times New Roman" w:cs="Times New Roman"/>
          <w:color w:val="000000"/>
          <w:sz w:val="24"/>
          <w:szCs w:val="24"/>
          <w:lang/>
        </w:rPr>
        <w:t>. Cengage Learning.</w:t>
      </w:r>
    </w:p>
    <w:p w14:paraId="60C23175" w14:textId="77777777" w:rsidR="00B33980" w:rsidRPr="00B33980" w:rsidRDefault="00B33980" w:rsidP="00B33980">
      <w:pPr>
        <w:spacing w:after="200" w:line="480" w:lineRule="auto"/>
        <w:ind w:firstLine="992"/>
        <w:rPr>
          <w:rFonts w:ascii="Times New Roman" w:eastAsia="Times New Roman" w:hAnsi="Times New Roman" w:cs="Times New Roman"/>
          <w:sz w:val="24"/>
          <w:szCs w:val="24"/>
          <w:lang/>
        </w:rPr>
      </w:pPr>
      <w:r w:rsidRPr="00B33980">
        <w:rPr>
          <w:rFonts w:ascii="Times New Roman" w:eastAsia="Times New Roman" w:hAnsi="Times New Roman" w:cs="Times New Roman"/>
          <w:color w:val="000000"/>
          <w:sz w:val="24"/>
          <w:szCs w:val="24"/>
          <w:lang/>
        </w:rPr>
        <w:t xml:space="preserve">Hovenga, E.J., 1996. Casemix and information systems. </w:t>
      </w:r>
      <w:r w:rsidRPr="00B33980">
        <w:rPr>
          <w:rFonts w:ascii="Times New Roman" w:eastAsia="Times New Roman" w:hAnsi="Times New Roman" w:cs="Times New Roman"/>
          <w:i/>
          <w:iCs/>
          <w:color w:val="000000"/>
          <w:sz w:val="24"/>
          <w:szCs w:val="24"/>
          <w:lang/>
        </w:rPr>
        <w:t>Health informatics: An overview</w:t>
      </w:r>
      <w:r w:rsidRPr="00B33980">
        <w:rPr>
          <w:rFonts w:ascii="Times New Roman" w:eastAsia="Times New Roman" w:hAnsi="Times New Roman" w:cs="Times New Roman"/>
          <w:color w:val="000000"/>
          <w:sz w:val="24"/>
          <w:szCs w:val="24"/>
          <w:lang/>
        </w:rPr>
        <w:t>, pp.313-338.</w:t>
      </w:r>
    </w:p>
    <w:p w14:paraId="14F041EE" w14:textId="77777777" w:rsidR="00B33980" w:rsidRPr="00B33980" w:rsidRDefault="00B33980" w:rsidP="00B33980">
      <w:pPr>
        <w:spacing w:after="200" w:line="480" w:lineRule="auto"/>
        <w:ind w:firstLine="992"/>
        <w:rPr>
          <w:rFonts w:ascii="Times New Roman" w:eastAsia="Times New Roman" w:hAnsi="Times New Roman" w:cs="Times New Roman"/>
          <w:sz w:val="24"/>
          <w:szCs w:val="24"/>
          <w:lang/>
        </w:rPr>
      </w:pPr>
      <w:r w:rsidRPr="00B33980">
        <w:rPr>
          <w:rFonts w:ascii="Times New Roman" w:eastAsia="Times New Roman" w:hAnsi="Times New Roman" w:cs="Times New Roman"/>
          <w:color w:val="000000"/>
          <w:sz w:val="24"/>
          <w:szCs w:val="24"/>
          <w:lang/>
        </w:rPr>
        <w:t xml:space="preserve">Mark, B.A., Jones, C.B., Lindley, L. and Ozcan, Y.A., 2009. An examination of technical efficiency, quality, and patient safety in acute care nursing units. </w:t>
      </w:r>
      <w:r w:rsidRPr="00B33980">
        <w:rPr>
          <w:rFonts w:ascii="Times New Roman" w:eastAsia="Times New Roman" w:hAnsi="Times New Roman" w:cs="Times New Roman"/>
          <w:i/>
          <w:iCs/>
          <w:color w:val="000000"/>
          <w:sz w:val="24"/>
          <w:szCs w:val="24"/>
          <w:lang/>
        </w:rPr>
        <w:t>Policy, Politics, &amp; Nursing Practice</w:t>
      </w:r>
      <w:r w:rsidRPr="00B33980">
        <w:rPr>
          <w:rFonts w:ascii="Times New Roman" w:eastAsia="Times New Roman" w:hAnsi="Times New Roman" w:cs="Times New Roman"/>
          <w:color w:val="000000"/>
          <w:sz w:val="24"/>
          <w:szCs w:val="24"/>
          <w:lang/>
        </w:rPr>
        <w:t xml:space="preserve">, </w:t>
      </w:r>
      <w:r w:rsidRPr="00B33980">
        <w:rPr>
          <w:rFonts w:ascii="Times New Roman" w:eastAsia="Times New Roman" w:hAnsi="Times New Roman" w:cs="Times New Roman"/>
          <w:i/>
          <w:iCs/>
          <w:color w:val="000000"/>
          <w:sz w:val="24"/>
          <w:szCs w:val="24"/>
          <w:lang/>
        </w:rPr>
        <w:t>10</w:t>
      </w:r>
      <w:r w:rsidRPr="00B33980">
        <w:rPr>
          <w:rFonts w:ascii="Times New Roman" w:eastAsia="Times New Roman" w:hAnsi="Times New Roman" w:cs="Times New Roman"/>
          <w:color w:val="000000"/>
          <w:sz w:val="24"/>
          <w:szCs w:val="24"/>
          <w:lang/>
        </w:rPr>
        <w:t>(3), pp.180-186.</w:t>
      </w:r>
    </w:p>
    <w:p w14:paraId="601DF491" w14:textId="77777777" w:rsidR="00B33980" w:rsidRPr="00B33980" w:rsidRDefault="00B33980" w:rsidP="00B33980">
      <w:pPr>
        <w:spacing w:after="200" w:line="480" w:lineRule="auto"/>
        <w:ind w:firstLine="992"/>
        <w:rPr>
          <w:rFonts w:ascii="Times New Roman" w:eastAsia="Times New Roman" w:hAnsi="Times New Roman" w:cs="Times New Roman"/>
          <w:sz w:val="24"/>
          <w:szCs w:val="24"/>
          <w:lang/>
        </w:rPr>
      </w:pPr>
      <w:r w:rsidRPr="00B33980">
        <w:rPr>
          <w:rFonts w:ascii="Times New Roman" w:eastAsia="Times New Roman" w:hAnsi="Times New Roman" w:cs="Times New Roman"/>
          <w:color w:val="000000"/>
          <w:sz w:val="24"/>
          <w:szCs w:val="24"/>
          <w:lang/>
        </w:rPr>
        <w:t xml:space="preserve">Rosenberg, S.P. and Hickie, I.B., 2013. Making activity-based funding work for mental health. </w:t>
      </w:r>
      <w:r w:rsidRPr="00B33980">
        <w:rPr>
          <w:rFonts w:ascii="Times New Roman" w:eastAsia="Times New Roman" w:hAnsi="Times New Roman" w:cs="Times New Roman"/>
          <w:i/>
          <w:iCs/>
          <w:color w:val="000000"/>
          <w:sz w:val="24"/>
          <w:szCs w:val="24"/>
          <w:lang/>
        </w:rPr>
        <w:t>Australian Health Review</w:t>
      </w:r>
      <w:r w:rsidRPr="00B33980">
        <w:rPr>
          <w:rFonts w:ascii="Times New Roman" w:eastAsia="Times New Roman" w:hAnsi="Times New Roman" w:cs="Times New Roman"/>
          <w:color w:val="000000"/>
          <w:sz w:val="24"/>
          <w:szCs w:val="24"/>
          <w:lang/>
        </w:rPr>
        <w:t xml:space="preserve">, </w:t>
      </w:r>
      <w:r w:rsidRPr="00B33980">
        <w:rPr>
          <w:rFonts w:ascii="Times New Roman" w:eastAsia="Times New Roman" w:hAnsi="Times New Roman" w:cs="Times New Roman"/>
          <w:i/>
          <w:iCs/>
          <w:color w:val="000000"/>
          <w:sz w:val="24"/>
          <w:szCs w:val="24"/>
          <w:lang/>
        </w:rPr>
        <w:t>37</w:t>
      </w:r>
      <w:r w:rsidRPr="00B33980">
        <w:rPr>
          <w:rFonts w:ascii="Times New Roman" w:eastAsia="Times New Roman" w:hAnsi="Times New Roman" w:cs="Times New Roman"/>
          <w:color w:val="000000"/>
          <w:sz w:val="24"/>
          <w:szCs w:val="24"/>
          <w:lang/>
        </w:rPr>
        <w:t>(3), pp.277-280.</w:t>
      </w:r>
    </w:p>
    <w:p w14:paraId="783C45D9" w14:textId="77777777" w:rsidR="00B33980" w:rsidRPr="00B33980" w:rsidRDefault="00B33980" w:rsidP="00B33980">
      <w:pPr>
        <w:spacing w:after="200" w:line="480" w:lineRule="auto"/>
        <w:ind w:firstLine="992"/>
        <w:rPr>
          <w:rFonts w:ascii="Times New Roman" w:eastAsia="Times New Roman" w:hAnsi="Times New Roman" w:cs="Times New Roman"/>
          <w:sz w:val="24"/>
          <w:szCs w:val="24"/>
          <w:lang/>
        </w:rPr>
      </w:pPr>
      <w:r w:rsidRPr="00B33980">
        <w:rPr>
          <w:rFonts w:ascii="Times New Roman" w:eastAsia="Times New Roman" w:hAnsi="Times New Roman" w:cs="Times New Roman"/>
          <w:color w:val="000000"/>
          <w:sz w:val="24"/>
          <w:szCs w:val="24"/>
          <w:lang/>
        </w:rPr>
        <w:lastRenderedPageBreak/>
        <w:t xml:space="preserve">Segal, L. and Richardson, J., 1994. Economic framework for allocative efficiency in the health sector. </w:t>
      </w:r>
      <w:r w:rsidRPr="00B33980">
        <w:rPr>
          <w:rFonts w:ascii="Times New Roman" w:eastAsia="Times New Roman" w:hAnsi="Times New Roman" w:cs="Times New Roman"/>
          <w:i/>
          <w:iCs/>
          <w:color w:val="000000"/>
          <w:sz w:val="24"/>
          <w:szCs w:val="24"/>
          <w:lang/>
        </w:rPr>
        <w:t>Australian Economic Review</w:t>
      </w:r>
      <w:r w:rsidRPr="00B33980">
        <w:rPr>
          <w:rFonts w:ascii="Times New Roman" w:eastAsia="Times New Roman" w:hAnsi="Times New Roman" w:cs="Times New Roman"/>
          <w:color w:val="000000"/>
          <w:sz w:val="24"/>
          <w:szCs w:val="24"/>
          <w:lang/>
        </w:rPr>
        <w:t xml:space="preserve">, </w:t>
      </w:r>
      <w:r w:rsidRPr="00B33980">
        <w:rPr>
          <w:rFonts w:ascii="Times New Roman" w:eastAsia="Times New Roman" w:hAnsi="Times New Roman" w:cs="Times New Roman"/>
          <w:i/>
          <w:iCs/>
          <w:color w:val="000000"/>
          <w:sz w:val="24"/>
          <w:szCs w:val="24"/>
          <w:lang/>
        </w:rPr>
        <w:t>27</w:t>
      </w:r>
      <w:r w:rsidRPr="00B33980">
        <w:rPr>
          <w:rFonts w:ascii="Times New Roman" w:eastAsia="Times New Roman" w:hAnsi="Times New Roman" w:cs="Times New Roman"/>
          <w:color w:val="000000"/>
          <w:sz w:val="24"/>
          <w:szCs w:val="24"/>
          <w:lang/>
        </w:rPr>
        <w:t>(2), pp.89-98.</w:t>
      </w:r>
    </w:p>
    <w:p w14:paraId="3B509A9B" w14:textId="77777777" w:rsidR="00B33980" w:rsidRPr="00B33980" w:rsidRDefault="00B33980" w:rsidP="00B33980">
      <w:pPr>
        <w:spacing w:after="200" w:line="480" w:lineRule="auto"/>
        <w:ind w:firstLine="992"/>
        <w:rPr>
          <w:rFonts w:ascii="Times New Roman" w:eastAsia="Times New Roman" w:hAnsi="Times New Roman" w:cs="Times New Roman"/>
          <w:sz w:val="24"/>
          <w:szCs w:val="24"/>
          <w:lang/>
        </w:rPr>
      </w:pPr>
      <w:r w:rsidRPr="00B33980">
        <w:rPr>
          <w:rFonts w:ascii="Times New Roman" w:eastAsia="Times New Roman" w:hAnsi="Times New Roman" w:cs="Times New Roman"/>
          <w:color w:val="000000"/>
          <w:sz w:val="24"/>
          <w:szCs w:val="24"/>
          <w:lang/>
        </w:rPr>
        <w:t xml:space="preserve">Shiell, A., Donaldson, C., Mitton, C. and Currie, G., 2002. Health economic evaluation. </w:t>
      </w:r>
      <w:r w:rsidRPr="00B33980">
        <w:rPr>
          <w:rFonts w:ascii="Times New Roman" w:eastAsia="Times New Roman" w:hAnsi="Times New Roman" w:cs="Times New Roman"/>
          <w:i/>
          <w:iCs/>
          <w:color w:val="000000"/>
          <w:sz w:val="24"/>
          <w:szCs w:val="24"/>
          <w:lang/>
        </w:rPr>
        <w:t>Journal of Epidemiology &amp; Community Health</w:t>
      </w:r>
      <w:r w:rsidRPr="00B33980">
        <w:rPr>
          <w:rFonts w:ascii="Times New Roman" w:eastAsia="Times New Roman" w:hAnsi="Times New Roman" w:cs="Times New Roman"/>
          <w:color w:val="000000"/>
          <w:sz w:val="24"/>
          <w:szCs w:val="24"/>
          <w:lang/>
        </w:rPr>
        <w:t xml:space="preserve">, </w:t>
      </w:r>
      <w:r w:rsidRPr="00B33980">
        <w:rPr>
          <w:rFonts w:ascii="Times New Roman" w:eastAsia="Times New Roman" w:hAnsi="Times New Roman" w:cs="Times New Roman"/>
          <w:i/>
          <w:iCs/>
          <w:color w:val="000000"/>
          <w:sz w:val="24"/>
          <w:szCs w:val="24"/>
          <w:lang/>
        </w:rPr>
        <w:t>56</w:t>
      </w:r>
      <w:r w:rsidRPr="00B33980">
        <w:rPr>
          <w:rFonts w:ascii="Times New Roman" w:eastAsia="Times New Roman" w:hAnsi="Times New Roman" w:cs="Times New Roman"/>
          <w:color w:val="000000"/>
          <w:sz w:val="24"/>
          <w:szCs w:val="24"/>
          <w:lang/>
        </w:rPr>
        <w:t>(2), pp.85-88.</w:t>
      </w:r>
    </w:p>
    <w:p w14:paraId="1E48010E" w14:textId="77777777" w:rsidR="00B33980" w:rsidRPr="00B33980" w:rsidRDefault="00B33980" w:rsidP="00B33980">
      <w:pPr>
        <w:spacing w:after="200" w:line="480" w:lineRule="auto"/>
        <w:ind w:firstLine="992"/>
        <w:rPr>
          <w:rFonts w:ascii="Times New Roman" w:eastAsia="Times New Roman" w:hAnsi="Times New Roman" w:cs="Times New Roman"/>
          <w:sz w:val="24"/>
          <w:szCs w:val="24"/>
          <w:lang/>
        </w:rPr>
      </w:pPr>
      <w:r w:rsidRPr="00B33980">
        <w:rPr>
          <w:rFonts w:ascii="Times New Roman" w:eastAsia="Times New Roman" w:hAnsi="Times New Roman" w:cs="Times New Roman"/>
          <w:color w:val="000000"/>
          <w:sz w:val="24"/>
          <w:szCs w:val="24"/>
          <w:shd w:val="clear" w:color="auto" w:fill="FFFFFF"/>
          <w:lang/>
        </w:rPr>
        <w:t>Shodhganga.inflibnet.ac.in. (2013). </w:t>
      </w:r>
      <w:r w:rsidRPr="00B33980">
        <w:rPr>
          <w:rFonts w:ascii="Times New Roman" w:eastAsia="Times New Roman" w:hAnsi="Times New Roman" w:cs="Times New Roman"/>
          <w:i/>
          <w:iCs/>
          <w:color w:val="000000"/>
          <w:sz w:val="24"/>
          <w:szCs w:val="24"/>
          <w:shd w:val="clear" w:color="auto" w:fill="FFFFFF"/>
          <w:lang/>
        </w:rPr>
        <w:t>Chapter – 3 Healthcare Economics – Concept, Development, Growth and Constraints with Reference to the Indian Economy</w:t>
      </w:r>
      <w:r w:rsidRPr="00B33980">
        <w:rPr>
          <w:rFonts w:ascii="Times New Roman" w:eastAsia="Times New Roman" w:hAnsi="Times New Roman" w:cs="Times New Roman"/>
          <w:color w:val="000000"/>
          <w:sz w:val="24"/>
          <w:szCs w:val="24"/>
          <w:shd w:val="clear" w:color="auto" w:fill="FFFFFF"/>
          <w:lang/>
        </w:rPr>
        <w:t>. [online] Available at: http://shodhganga.inflibnet.ac.in/bitstream/10603/7213/9/09_chapter%203.pdf [Accessed 22 Jul. 2018].</w:t>
      </w:r>
    </w:p>
    <w:p w14:paraId="4B5D3A45" w14:textId="77777777" w:rsidR="00B33980" w:rsidRPr="00B33980" w:rsidRDefault="00B33980" w:rsidP="00B33980">
      <w:pPr>
        <w:spacing w:after="200" w:line="480" w:lineRule="auto"/>
        <w:ind w:firstLine="992"/>
        <w:rPr>
          <w:rFonts w:ascii="Times New Roman" w:eastAsia="Times New Roman" w:hAnsi="Times New Roman" w:cs="Times New Roman"/>
          <w:sz w:val="24"/>
          <w:szCs w:val="24"/>
          <w:lang/>
        </w:rPr>
      </w:pPr>
      <w:r w:rsidRPr="00B33980">
        <w:rPr>
          <w:rFonts w:ascii="Times New Roman" w:eastAsia="Times New Roman" w:hAnsi="Times New Roman" w:cs="Times New Roman"/>
          <w:color w:val="000000"/>
          <w:sz w:val="24"/>
          <w:szCs w:val="24"/>
          <w:lang/>
        </w:rPr>
        <w:t xml:space="preserve">Street, A., O’Reilly, J., Ward, P. and Mason, A., 2011. DRG-based hospital payment and efficiency: theory, evidence, and challenges. </w:t>
      </w:r>
      <w:r w:rsidRPr="00B33980">
        <w:rPr>
          <w:rFonts w:ascii="Times New Roman" w:eastAsia="Times New Roman" w:hAnsi="Times New Roman" w:cs="Times New Roman"/>
          <w:i/>
          <w:iCs/>
          <w:color w:val="000000"/>
          <w:sz w:val="24"/>
          <w:szCs w:val="24"/>
          <w:lang/>
        </w:rPr>
        <w:t>Diagnosis-related groups in Europe: Moving towards transparency, efficiency and quality in hospitals</w:t>
      </w:r>
      <w:r w:rsidRPr="00B33980">
        <w:rPr>
          <w:rFonts w:ascii="Times New Roman" w:eastAsia="Times New Roman" w:hAnsi="Times New Roman" w:cs="Times New Roman"/>
          <w:color w:val="000000"/>
          <w:sz w:val="24"/>
          <w:szCs w:val="24"/>
          <w:lang/>
        </w:rPr>
        <w:t>, pp.93-114.</w:t>
      </w:r>
    </w:p>
    <w:p w14:paraId="52914E25" w14:textId="77777777" w:rsidR="00B33980" w:rsidRPr="00B33980" w:rsidRDefault="00B33980" w:rsidP="00B33980">
      <w:pPr>
        <w:spacing w:after="200" w:line="480" w:lineRule="auto"/>
        <w:ind w:firstLine="992"/>
        <w:rPr>
          <w:rFonts w:ascii="Times New Roman" w:eastAsia="Times New Roman" w:hAnsi="Times New Roman" w:cs="Times New Roman"/>
          <w:sz w:val="24"/>
          <w:szCs w:val="24"/>
          <w:lang/>
        </w:rPr>
      </w:pPr>
      <w:r w:rsidRPr="00B33980">
        <w:rPr>
          <w:rFonts w:ascii="Times New Roman" w:eastAsia="Times New Roman" w:hAnsi="Times New Roman" w:cs="Times New Roman"/>
          <w:color w:val="000000"/>
          <w:sz w:val="24"/>
          <w:szCs w:val="24"/>
          <w:lang/>
        </w:rPr>
        <w:t xml:space="preserve">Thomson, S., Foubister, T. and Mossialos, E., 2009. </w:t>
      </w:r>
      <w:r w:rsidRPr="00B33980">
        <w:rPr>
          <w:rFonts w:ascii="Times New Roman" w:eastAsia="Times New Roman" w:hAnsi="Times New Roman" w:cs="Times New Roman"/>
          <w:i/>
          <w:iCs/>
          <w:color w:val="000000"/>
          <w:sz w:val="24"/>
          <w:szCs w:val="24"/>
          <w:lang/>
        </w:rPr>
        <w:t>Financing health care in the European Union: challenges and policy responses</w:t>
      </w:r>
      <w:r w:rsidRPr="00B33980">
        <w:rPr>
          <w:rFonts w:ascii="Times New Roman" w:eastAsia="Times New Roman" w:hAnsi="Times New Roman" w:cs="Times New Roman"/>
          <w:color w:val="000000"/>
          <w:sz w:val="24"/>
          <w:szCs w:val="24"/>
          <w:lang/>
        </w:rPr>
        <w:t>. World Health Organization.</w:t>
      </w:r>
    </w:p>
    <w:p w14:paraId="2B6FBC8E" w14:textId="77777777" w:rsidR="00B33980" w:rsidRPr="00B33980" w:rsidRDefault="00B33980" w:rsidP="00B33980">
      <w:pPr>
        <w:spacing w:after="200" w:line="480" w:lineRule="auto"/>
        <w:ind w:firstLine="992"/>
        <w:rPr>
          <w:rFonts w:ascii="Times New Roman" w:eastAsia="Times New Roman" w:hAnsi="Times New Roman" w:cs="Times New Roman"/>
          <w:sz w:val="24"/>
          <w:szCs w:val="24"/>
          <w:lang/>
        </w:rPr>
      </w:pPr>
      <w:r w:rsidRPr="00B33980">
        <w:rPr>
          <w:rFonts w:ascii="Times New Roman" w:eastAsia="Times New Roman" w:hAnsi="Times New Roman" w:cs="Times New Roman"/>
          <w:color w:val="000000"/>
          <w:sz w:val="24"/>
          <w:szCs w:val="24"/>
          <w:lang/>
        </w:rPr>
        <w:t xml:space="preserve">Williams, I. and Bryan, S., 2007. Understanding the limited impact of economic evaluation in health care resource allocation: a conceptual framework. </w:t>
      </w:r>
      <w:r w:rsidRPr="00B33980">
        <w:rPr>
          <w:rFonts w:ascii="Times New Roman" w:eastAsia="Times New Roman" w:hAnsi="Times New Roman" w:cs="Times New Roman"/>
          <w:i/>
          <w:iCs/>
          <w:color w:val="000000"/>
          <w:sz w:val="24"/>
          <w:szCs w:val="24"/>
          <w:lang/>
        </w:rPr>
        <w:t>Health policy</w:t>
      </w:r>
      <w:r w:rsidRPr="00B33980">
        <w:rPr>
          <w:rFonts w:ascii="Times New Roman" w:eastAsia="Times New Roman" w:hAnsi="Times New Roman" w:cs="Times New Roman"/>
          <w:color w:val="000000"/>
          <w:sz w:val="24"/>
          <w:szCs w:val="24"/>
          <w:lang/>
        </w:rPr>
        <w:t xml:space="preserve">, </w:t>
      </w:r>
      <w:r w:rsidRPr="00B33980">
        <w:rPr>
          <w:rFonts w:ascii="Times New Roman" w:eastAsia="Times New Roman" w:hAnsi="Times New Roman" w:cs="Times New Roman"/>
          <w:i/>
          <w:iCs/>
          <w:color w:val="000000"/>
          <w:sz w:val="24"/>
          <w:szCs w:val="24"/>
          <w:lang/>
        </w:rPr>
        <w:t>80</w:t>
      </w:r>
      <w:r w:rsidRPr="00B33980">
        <w:rPr>
          <w:rFonts w:ascii="Times New Roman" w:eastAsia="Times New Roman" w:hAnsi="Times New Roman" w:cs="Times New Roman"/>
          <w:color w:val="000000"/>
          <w:sz w:val="24"/>
          <w:szCs w:val="24"/>
          <w:lang/>
        </w:rPr>
        <w:t>(1), pp.135-143.</w:t>
      </w:r>
    </w:p>
    <w:p w14:paraId="2AD13F5F" w14:textId="78A168A0" w:rsidR="00763DBB" w:rsidRDefault="00B33980" w:rsidP="00B33980">
      <w:r w:rsidRPr="00B33980">
        <w:rPr>
          <w:rFonts w:ascii="Times New Roman" w:eastAsia="Times New Roman" w:hAnsi="Times New Roman" w:cs="Times New Roman"/>
          <w:sz w:val="24"/>
          <w:szCs w:val="24"/>
          <w:lang/>
        </w:rPr>
        <w:br/>
      </w:r>
    </w:p>
    <w:sectPr w:rsidR="00763DB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0ECF"/>
    <w:rsid w:val="00763DBB"/>
    <w:rsid w:val="00780ECF"/>
    <w:rsid w:val="00B33980"/>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869A46-32B7-4F36-82DF-AC02EA188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33980"/>
    <w:pPr>
      <w:spacing w:before="100" w:beforeAutospacing="1" w:after="100" w:afterAutospacing="1" w:line="240" w:lineRule="auto"/>
    </w:pPr>
    <w:rPr>
      <w:rFonts w:ascii="Times New Roman" w:eastAsia="Times New Roman" w:hAnsi="Times New Roman" w:cs="Times New Roman"/>
      <w:sz w:val="24"/>
      <w:szCs w:val="24"/>
      <w:la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3592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2581</Words>
  <Characters>14718</Characters>
  <Application>Microsoft Office Word</Application>
  <DocSecurity>0</DocSecurity>
  <Lines>122</Lines>
  <Paragraphs>34</Paragraphs>
  <ScaleCrop>false</ScaleCrop>
  <Company/>
  <LinksUpToDate>false</LinksUpToDate>
  <CharactersWithSpaces>17265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Andrii Smail</dc:creator>
  <cp:keywords/>
  <dc:description/>
  <cp:lastModifiedBy>Andrii Smail</cp:lastModifiedBy>
  <cp:revision>3</cp:revision>
  <dcterms:created xsi:type="dcterms:W3CDTF">2023-03-03T15:03:00Z</dcterms:created>
  <dcterms:modified xsi:type="dcterms:W3CDTF">2023-03-03T15:03:00Z</dcterms:modified>
</cp:coreProperties>
</file>