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17F5" w14:textId="77777777" w:rsidR="004D1ADC" w:rsidRDefault="004D1ADC" w:rsidP="004D1ADC">
      <w:pPr>
        <w:pStyle w:val="a3"/>
        <w:spacing w:before="0" w:beforeAutospacing="0" w:after="20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Health</w:t>
      </w:r>
      <w:proofErr w:type="spellEnd"/>
      <w:r>
        <w:rPr>
          <w:b/>
          <w:bCs/>
          <w:color w:val="000000"/>
          <w:sz w:val="48"/>
          <w:szCs w:val="48"/>
        </w:rPr>
        <w:t xml:space="preserve">, </w:t>
      </w:r>
      <w:proofErr w:type="spellStart"/>
      <w:r>
        <w:rPr>
          <w:b/>
          <w:bCs/>
          <w:color w:val="000000"/>
          <w:sz w:val="48"/>
          <w:szCs w:val="48"/>
        </w:rPr>
        <w:t>Wellbeing</w:t>
      </w:r>
      <w:proofErr w:type="spellEnd"/>
      <w:r>
        <w:rPr>
          <w:b/>
          <w:bCs/>
          <w:color w:val="000000"/>
          <w:sz w:val="48"/>
          <w:szCs w:val="48"/>
        </w:rPr>
        <w:t xml:space="preserve">, </w:t>
      </w:r>
      <w:proofErr w:type="spellStart"/>
      <w:r>
        <w:rPr>
          <w:b/>
          <w:bCs/>
          <w:color w:val="000000"/>
          <w:sz w:val="48"/>
          <w:szCs w:val="48"/>
        </w:rPr>
        <w:t>and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Aging</w:t>
      </w:r>
      <w:proofErr w:type="spellEnd"/>
      <w:r>
        <w:rPr>
          <w:b/>
          <w:bCs/>
          <w:color w:val="000000"/>
          <w:sz w:val="48"/>
          <w:szCs w:val="48"/>
        </w:rPr>
        <w:t xml:space="preserve">: </w:t>
      </w:r>
      <w:proofErr w:type="spellStart"/>
      <w:r>
        <w:rPr>
          <w:b/>
          <w:bCs/>
          <w:color w:val="000000"/>
          <w:sz w:val="48"/>
          <w:szCs w:val="48"/>
        </w:rPr>
        <w:t>Death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and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Dying</w:t>
      </w:r>
      <w:proofErr w:type="spellEnd"/>
    </w:p>
    <w:p w14:paraId="3AD018CD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Introduction</w:t>
      </w:r>
      <w:proofErr w:type="spellEnd"/>
    </w:p>
    <w:p w14:paraId="5C54419E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dream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healthy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(2005),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combination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wellspring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happy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wellbeing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intertwined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quite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appropriately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maintained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Schulz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Sherwood</w:t>
      </w:r>
      <w:proofErr w:type="spellEnd"/>
      <w:r>
        <w:rPr>
          <w:color w:val="000000"/>
        </w:rPr>
        <w:t xml:space="preserve"> (2008) </w:t>
      </w:r>
      <w:proofErr w:type="spellStart"/>
      <w:r>
        <w:rPr>
          <w:color w:val="000000"/>
        </w:rPr>
        <w:t>observe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variety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illness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despite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efforts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Ultimately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beyond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well-being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theoretical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perspectives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Kubler-Ross</w:t>
      </w:r>
      <w:proofErr w:type="spellEnd"/>
      <w:r>
        <w:rPr>
          <w:color w:val="000000"/>
        </w:rPr>
        <w:t xml:space="preserve">’ 5-stage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Charles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narrower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context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>.</w:t>
      </w:r>
    </w:p>
    <w:p w14:paraId="27663FBD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Definition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Death</w:t>
      </w:r>
      <w:proofErr w:type="spellEnd"/>
    </w:p>
    <w:p w14:paraId="18A7FA5F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scholars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concepts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jointly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Edo-Gual</w:t>
      </w:r>
      <w:proofErr w:type="spellEnd"/>
      <w:r>
        <w:rPr>
          <w:color w:val="000000"/>
        </w:rPr>
        <w:t xml:space="preserve"> (2014),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permanent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cessation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permanent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Edo-Gual</w:t>
      </w:r>
      <w:proofErr w:type="spellEnd"/>
      <w:r>
        <w:rPr>
          <w:color w:val="000000"/>
        </w:rPr>
        <w:t xml:space="preserve"> (2014) </w:t>
      </w:r>
      <w:proofErr w:type="spellStart"/>
      <w:r>
        <w:rPr>
          <w:color w:val="000000"/>
        </w:rPr>
        <w:t>denote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irreversible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Green</w:t>
      </w:r>
      <w:proofErr w:type="spellEnd"/>
      <w:r>
        <w:rPr>
          <w:color w:val="000000"/>
        </w:rPr>
        <w:t xml:space="preserve"> (2012) </w:t>
      </w:r>
      <w:proofErr w:type="spellStart"/>
      <w:r>
        <w:rPr>
          <w:color w:val="000000"/>
        </w:rPr>
        <w:t>defines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cessation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breathing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heartbeat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animals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lungs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Quite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Gardiner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(2009) </w:t>
      </w:r>
      <w:proofErr w:type="spellStart"/>
      <w:r>
        <w:rPr>
          <w:color w:val="000000"/>
        </w:rPr>
        <w:t>define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untreatable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>. </w:t>
      </w:r>
    </w:p>
    <w:p w14:paraId="7F3CD7A3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Whether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Death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is</w:t>
      </w:r>
      <w:proofErr w:type="spellEnd"/>
      <w:r>
        <w:rPr>
          <w:b/>
          <w:bCs/>
          <w:color w:val="000000"/>
          <w:sz w:val="40"/>
          <w:szCs w:val="40"/>
        </w:rPr>
        <w:t xml:space="preserve"> a </w:t>
      </w:r>
      <w:proofErr w:type="spellStart"/>
      <w:r>
        <w:rPr>
          <w:b/>
          <w:bCs/>
          <w:color w:val="000000"/>
          <w:sz w:val="40"/>
          <w:szCs w:val="40"/>
        </w:rPr>
        <w:t>Taboo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or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not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why</w:t>
      </w:r>
      <w:proofErr w:type="spellEnd"/>
    </w:p>
    <w:p w14:paraId="5C299335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Modern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Perspective</w:t>
      </w:r>
      <w:proofErr w:type="spellEnd"/>
    </w:p>
    <w:p w14:paraId="42012FFF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inevitability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taboo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Clark</w:t>
      </w:r>
      <w:proofErr w:type="spellEnd"/>
      <w:r>
        <w:rPr>
          <w:color w:val="000000"/>
        </w:rPr>
        <w:t xml:space="preserve"> (2003) </w:t>
      </w:r>
      <w:proofErr w:type="spellStart"/>
      <w:r>
        <w:rPr>
          <w:color w:val="000000"/>
        </w:rPr>
        <w:t>reveals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three-quarters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friends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members</w:t>
      </w:r>
      <w:proofErr w:type="spellEnd"/>
      <w:r>
        <w:rPr>
          <w:color w:val="000000"/>
        </w:rPr>
        <w:t xml:space="preserve">' </w:t>
      </w:r>
      <w:proofErr w:type="spellStart"/>
      <w:r>
        <w:rPr>
          <w:color w:val="000000"/>
        </w:rPr>
        <w:t>end-of-life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wishes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frequently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broadly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elderly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will-writing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wishes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thoughts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quite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Dickinson</w:t>
      </w:r>
      <w:proofErr w:type="spellEnd"/>
      <w:r>
        <w:rPr>
          <w:color w:val="000000"/>
        </w:rPr>
        <w:t xml:space="preserve"> (2010) </w:t>
      </w:r>
      <w:proofErr w:type="spellStart"/>
      <w:r>
        <w:rPr>
          <w:color w:val="000000"/>
        </w:rPr>
        <w:t>emphasise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especially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unprepared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unpreparedness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wishes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Uncertainties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unprepared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uncertainties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dependents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happens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unprepared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struggle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underwent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wealth</w:t>
      </w:r>
      <w:proofErr w:type="spellEnd"/>
      <w:r>
        <w:rPr>
          <w:color w:val="000000"/>
        </w:rPr>
        <w:t>. </w:t>
      </w:r>
    </w:p>
    <w:p w14:paraId="429B1803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taboo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disquieting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imagine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mortality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Leming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Dickinson</w:t>
      </w:r>
      <w:proofErr w:type="spellEnd"/>
      <w:r>
        <w:rPr>
          <w:color w:val="000000"/>
        </w:rPr>
        <w:t xml:space="preserve"> 2010).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comes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traumatising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walk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ignore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besides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swerve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thoughts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Thirdly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Dickinson</w:t>
      </w:r>
      <w:proofErr w:type="spellEnd"/>
      <w:r>
        <w:rPr>
          <w:color w:val="000000"/>
        </w:rPr>
        <w:t xml:space="preserve"> (2010) </w:t>
      </w: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traumatise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beloved-ones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Imagining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painful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traumatising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saddening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upsetting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friends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taboo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Nevertheless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expectations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cessation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openly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category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outcasts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communities</w:t>
      </w:r>
      <w:proofErr w:type="spellEnd"/>
      <w:r>
        <w:rPr>
          <w:color w:val="000000"/>
        </w:rPr>
        <w:t>. </w:t>
      </w:r>
    </w:p>
    <w:p w14:paraId="52F504C7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Historical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Perspective</w:t>
      </w:r>
      <w:proofErr w:type="spellEnd"/>
    </w:p>
    <w:p w14:paraId="1CC53065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Richards</w:t>
      </w:r>
      <w:proofErr w:type="spellEnd"/>
      <w:r>
        <w:rPr>
          <w:color w:val="000000"/>
        </w:rPr>
        <w:t xml:space="preserve"> (2012) </w:t>
      </w:r>
      <w:proofErr w:type="spellStart"/>
      <w:r>
        <w:rPr>
          <w:color w:val="000000"/>
        </w:rPr>
        <w:t>observes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perceived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taboo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alongside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articles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Rowbotham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Clayton</w:t>
      </w:r>
      <w:proofErr w:type="spellEnd"/>
      <w:r>
        <w:rPr>
          <w:color w:val="000000"/>
        </w:rPr>
        <w:t xml:space="preserve"> (2008)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reign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Victoria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Kingdom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19</w:t>
      </w:r>
      <w:r>
        <w:rPr>
          <w:color w:val="000000"/>
          <w:sz w:val="14"/>
          <w:szCs w:val="14"/>
          <w:vertAlign w:val="superscript"/>
        </w:rPr>
        <w:t>th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century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average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expectancy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estimated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48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Rowbotham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Clayton</w:t>
      </w:r>
      <w:proofErr w:type="spellEnd"/>
      <w:r>
        <w:rPr>
          <w:color w:val="000000"/>
        </w:rPr>
        <w:t xml:space="preserve"> 2008).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expectancy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80s.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Victorian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remedy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expectancy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expectancy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gradually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Rowbotham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Clayton</w:t>
      </w:r>
      <w:proofErr w:type="spellEnd"/>
      <w:r>
        <w:rPr>
          <w:color w:val="000000"/>
        </w:rPr>
        <w:t xml:space="preserve"> (2008) </w:t>
      </w:r>
      <w:proofErr w:type="spellStart"/>
      <w:r>
        <w:rPr>
          <w:color w:val="000000"/>
        </w:rPr>
        <w:t>opine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end-of-life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beliefs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>.</w:t>
      </w:r>
    </w:p>
    <w:p w14:paraId="53DE4DF5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Process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Death</w:t>
      </w:r>
      <w:proofErr w:type="spellEnd"/>
    </w:p>
    <w:p w14:paraId="1261A3D9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Funeral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in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the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Past</w:t>
      </w:r>
      <w:proofErr w:type="spellEnd"/>
    </w:p>
    <w:p w14:paraId="46D76844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Funerals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Historically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civilisation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culture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another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Irish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Lundquist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Nelsen</w:t>
      </w:r>
      <w:proofErr w:type="spellEnd"/>
      <w:r>
        <w:rPr>
          <w:color w:val="000000"/>
        </w:rPr>
        <w:t xml:space="preserve"> (2014) </w:t>
      </w:r>
      <w:proofErr w:type="spellStart"/>
      <w:r>
        <w:rPr>
          <w:color w:val="000000"/>
        </w:rPr>
        <w:t>reveal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cultural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diversities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ceremony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ritual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rites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sacred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memorials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60,000 B.C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Neanderthal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antlers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flowers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sign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gifts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Henry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Brooks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Piperno</w:t>
      </w:r>
      <w:proofErr w:type="spellEnd"/>
      <w:r>
        <w:rPr>
          <w:color w:val="000000"/>
        </w:rPr>
        <w:t xml:space="preserve"> 2010).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discovered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Shanidar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Iraq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Neanderthal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skeletons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ascertain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Neanderthal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valued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monuments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Neanderthal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landmarks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constructed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memorial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tombs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enshrining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honouring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catacombs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Mausoleum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terror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cotta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worriers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pyramids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Egypt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Holt</w:t>
      </w:r>
      <w:proofErr w:type="spellEnd"/>
      <w:r>
        <w:rPr>
          <w:color w:val="000000"/>
        </w:rPr>
        <w:t>, 2012). </w:t>
      </w:r>
    </w:p>
    <w:p w14:paraId="50C7C787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Lippolis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Calio</w:t>
      </w:r>
      <w:proofErr w:type="spellEnd"/>
      <w:r>
        <w:rPr>
          <w:color w:val="000000"/>
        </w:rPr>
        <w:t xml:space="preserve"> (2016), </w:t>
      </w:r>
      <w:proofErr w:type="spellStart"/>
      <w:r>
        <w:rPr>
          <w:color w:val="000000"/>
        </w:rPr>
        <w:t>construction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Mausoleum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353 B.C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Mausolus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construction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incomplete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afterwards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19</w:t>
      </w:r>
      <w:r>
        <w:rPr>
          <w:color w:val="000000"/>
          <w:sz w:val="14"/>
          <w:szCs w:val="14"/>
          <w:vertAlign w:val="superscript"/>
        </w:rPr>
        <w:t>th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century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emerged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utterly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localities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mountainsides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Chinese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Greeks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1000 B.C.</w:t>
      </w:r>
    </w:p>
    <w:p w14:paraId="1B3E632E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Funeral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in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the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Present</w:t>
      </w:r>
      <w:proofErr w:type="spellEnd"/>
    </w:p>
    <w:p w14:paraId="436FAD15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funerals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valued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distinct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Kingdom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funerals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currently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context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obituary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disposition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Kasket</w:t>
      </w:r>
      <w:proofErr w:type="spellEnd"/>
      <w:r>
        <w:rPr>
          <w:color w:val="000000"/>
        </w:rPr>
        <w:t xml:space="preserve"> (2012), </w:t>
      </w:r>
      <w:proofErr w:type="spellStart"/>
      <w:r>
        <w:rPr>
          <w:color w:val="000000"/>
        </w:rPr>
        <w:t>publishing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announcements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16</w:t>
      </w:r>
      <w:r>
        <w:rPr>
          <w:color w:val="000000"/>
          <w:sz w:val="14"/>
          <w:szCs w:val="14"/>
          <w:vertAlign w:val="superscript"/>
        </w:rPr>
        <w:t>th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century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350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Britain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obituaries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preserved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socially-prominent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soldiers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20</w:t>
      </w:r>
      <w:r>
        <w:rPr>
          <w:color w:val="000000"/>
          <w:sz w:val="14"/>
          <w:szCs w:val="14"/>
          <w:vertAlign w:val="superscript"/>
        </w:rPr>
        <w:t>th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century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obituaries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citizens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obituaries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platforms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Kasket</w:t>
      </w:r>
      <w:proofErr w:type="spellEnd"/>
      <w:r>
        <w:rPr>
          <w:color w:val="000000"/>
        </w:rPr>
        <w:t xml:space="preserve">, 2012). </w:t>
      </w:r>
      <w:proofErr w:type="spellStart"/>
      <w:r>
        <w:rPr>
          <w:color w:val="000000"/>
        </w:rPr>
        <w:t>Presently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podiums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Twitter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Instagram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alongside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platforms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newspapers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radios</w:t>
      </w:r>
      <w:proofErr w:type="spellEnd"/>
      <w:r>
        <w:rPr>
          <w:color w:val="000000"/>
        </w:rPr>
        <w:t>. </w:t>
      </w:r>
    </w:p>
    <w:p w14:paraId="2E4FE282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Watanabe-O’Kelly</w:t>
      </w:r>
      <w:proofErr w:type="spellEnd"/>
      <w:r>
        <w:rPr>
          <w:color w:val="000000"/>
        </w:rPr>
        <w:t xml:space="preserve"> (2017) </w:t>
      </w:r>
      <w:proofErr w:type="spellStart"/>
      <w:r>
        <w:rPr>
          <w:color w:val="000000"/>
        </w:rPr>
        <w:t>notes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replaced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corpses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corteges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recognising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UK, </w:t>
      </w:r>
      <w:proofErr w:type="spellStart"/>
      <w:r>
        <w:rPr>
          <w:color w:val="000000"/>
        </w:rPr>
        <w:t>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stoppage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passers-by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proceeding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journeys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passers-by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Friends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beloved-ones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Kaplan</w:t>
      </w:r>
      <w:proofErr w:type="spellEnd"/>
      <w:r>
        <w:rPr>
          <w:color w:val="000000"/>
        </w:rPr>
        <w:t xml:space="preserve">, 2009).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mourners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multitude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respected</w:t>
      </w:r>
      <w:proofErr w:type="spellEnd"/>
      <w:r>
        <w:rPr>
          <w:color w:val="000000"/>
        </w:rPr>
        <w:t>.</w:t>
      </w:r>
    </w:p>
    <w:p w14:paraId="49B173F0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lastRenderedPageBreak/>
        <w:tab/>
      </w:r>
      <w:proofErr w:type="spellStart"/>
      <w:r>
        <w:rPr>
          <w:color w:val="000000"/>
        </w:rPr>
        <w:t>Wake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Wake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Sormanti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Ballan</w:t>
      </w:r>
      <w:proofErr w:type="spellEnd"/>
      <w:r>
        <w:rPr>
          <w:color w:val="000000"/>
        </w:rPr>
        <w:t xml:space="preserve"> (2011)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celebrate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memories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grieve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together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UK </w:t>
      </w:r>
      <w:proofErr w:type="spellStart"/>
      <w:r>
        <w:rPr>
          <w:color w:val="000000"/>
        </w:rPr>
        <w:t>funerals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conducted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wailers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travelled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traceable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Christianity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Anglo-Saxon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Semple</w:t>
      </w:r>
      <w:proofErr w:type="spellEnd"/>
      <w:r>
        <w:rPr>
          <w:color w:val="000000"/>
        </w:rPr>
        <w:t xml:space="preserve"> 2013).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Christians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dancing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feasts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sports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night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meditation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prayers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church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holiday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parish</w:t>
      </w:r>
      <w:proofErr w:type="spellEnd"/>
      <w:r>
        <w:rPr>
          <w:color w:val="000000"/>
        </w:rPr>
        <w:t>. </w:t>
      </w:r>
    </w:p>
    <w:p w14:paraId="37B98871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Cultural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Religious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beliefs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Cremation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Burial</w:t>
      </w:r>
      <w:proofErr w:type="spellEnd"/>
    </w:p>
    <w:p w14:paraId="63B4311D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disposition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Fahlander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Oestigaard</w:t>
      </w:r>
      <w:proofErr w:type="spellEnd"/>
      <w:r>
        <w:rPr>
          <w:color w:val="000000"/>
        </w:rPr>
        <w:t xml:space="preserve"> (2008),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elements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sky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origins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Judaism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Orthodox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Anciently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Judaists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fiercely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currently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Nevertheless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emphasise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coffins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Orthodox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adhered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strongly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Muslims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Rebay-Salisbury</w:t>
      </w:r>
      <w:proofErr w:type="spellEnd"/>
      <w:r>
        <w:rPr>
          <w:color w:val="000000"/>
        </w:rPr>
        <w:t xml:space="preserve"> (2012) </w:t>
      </w:r>
      <w:proofErr w:type="spellStart"/>
      <w:r>
        <w:rPr>
          <w:color w:val="000000"/>
        </w:rPr>
        <w:t>notes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fiercest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criticisers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unclean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performed</w:t>
      </w:r>
      <w:proofErr w:type="spellEnd"/>
      <w:r>
        <w:rPr>
          <w:color w:val="000000"/>
        </w:rPr>
        <w:t>.</w:t>
      </w:r>
    </w:p>
    <w:p w14:paraId="12CD0C1D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Basmajian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Coutts</w:t>
      </w:r>
      <w:proofErr w:type="spellEnd"/>
      <w:r>
        <w:rPr>
          <w:color w:val="000000"/>
        </w:rPr>
        <w:t xml:space="preserve"> (2010)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mourners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items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flowers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coffin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already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grave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facing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worshipping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Christians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adopted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resurrection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Christ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Construction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monuments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maintained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UK </w:t>
      </w:r>
      <w:proofErr w:type="spellStart"/>
      <w:r>
        <w:rPr>
          <w:color w:val="000000"/>
        </w:rPr>
        <w:t>society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commemorate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deceased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nutshell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centuries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millenniums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Chapman</w:t>
      </w:r>
      <w:proofErr w:type="spellEnd"/>
      <w:r>
        <w:rPr>
          <w:color w:val="000000"/>
        </w:rPr>
        <w:t xml:space="preserve"> (2013) </w:t>
      </w:r>
      <w:proofErr w:type="spellStart"/>
      <w:r>
        <w:rPr>
          <w:color w:val="000000"/>
        </w:rPr>
        <w:t>observes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slightly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technological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cultural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>. </w:t>
      </w:r>
    </w:p>
    <w:p w14:paraId="5F56818F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Theories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Death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Dying</w:t>
      </w:r>
      <w:proofErr w:type="spellEnd"/>
    </w:p>
    <w:p w14:paraId="14B540AA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b/>
          <w:bCs/>
          <w:color w:val="000000"/>
          <w:sz w:val="40"/>
          <w:szCs w:val="40"/>
        </w:rPr>
        <w:t xml:space="preserve">5-Stage </w:t>
      </w:r>
      <w:proofErr w:type="spellStart"/>
      <w:r>
        <w:rPr>
          <w:b/>
          <w:bCs/>
          <w:color w:val="000000"/>
          <w:sz w:val="40"/>
          <w:szCs w:val="40"/>
        </w:rPr>
        <w:t>Model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Death</w:t>
      </w:r>
      <w:proofErr w:type="spellEnd"/>
    </w:p>
    <w:p w14:paraId="087E7AF3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Psychiatrists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Friedman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James</w:t>
      </w:r>
      <w:proofErr w:type="spellEnd"/>
      <w:r>
        <w:rPr>
          <w:color w:val="000000"/>
        </w:rPr>
        <w:t xml:space="preserve"> (2008) 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Elizabeth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Kubler-Ross</w:t>
      </w:r>
      <w:proofErr w:type="spellEnd"/>
      <w:r>
        <w:rPr>
          <w:color w:val="000000"/>
        </w:rPr>
        <w:t xml:space="preserve">’ 5-stage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theories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end-of-life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beloved-individuals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Kubler-Ross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200 </w:t>
      </w:r>
      <w:proofErr w:type="spellStart"/>
      <w:r>
        <w:rPr>
          <w:color w:val="000000"/>
        </w:rPr>
        <w:t>terminally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1960s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>’ (</w:t>
      </w:r>
      <w:proofErr w:type="spellStart"/>
      <w:r>
        <w:rPr>
          <w:color w:val="000000"/>
        </w:rPr>
        <w:t>Hall</w:t>
      </w:r>
      <w:proofErr w:type="spellEnd"/>
      <w:r>
        <w:rPr>
          <w:color w:val="000000"/>
        </w:rPr>
        <w:t xml:space="preserve"> 2011).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denial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anger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bargaining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acceptance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reality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’. </w:t>
      </w:r>
      <w:proofErr w:type="spellStart"/>
      <w:r>
        <w:rPr>
          <w:color w:val="000000"/>
        </w:rPr>
        <w:t>Consequently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recommendations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hostile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resentful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>’?</w:t>
      </w:r>
    </w:p>
    <w:p w14:paraId="773F70CD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lastRenderedPageBreak/>
        <w:tab/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bargaining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sickling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start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reasoning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favour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accompany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requests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promises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instance</w:t>
      </w:r>
      <w:proofErr w:type="spellEnd"/>
      <w:r>
        <w:rPr>
          <w:color w:val="000000"/>
        </w:rPr>
        <w:t>, ‘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needy</w:t>
      </w:r>
      <w:proofErr w:type="spellEnd"/>
      <w:r>
        <w:rPr>
          <w:color w:val="000000"/>
        </w:rPr>
        <w:t xml:space="preserve">.’ </w:t>
      </w:r>
      <w:proofErr w:type="spellStart"/>
      <w:r>
        <w:rPr>
          <w:color w:val="000000"/>
        </w:rPr>
        <w:t>Hall</w:t>
      </w:r>
      <w:proofErr w:type="spellEnd"/>
      <w:r>
        <w:rPr>
          <w:color w:val="000000"/>
        </w:rPr>
        <w:t xml:space="preserve"> (2011) </w:t>
      </w:r>
      <w:proofErr w:type="spellStart"/>
      <w:r>
        <w:rPr>
          <w:color w:val="000000"/>
        </w:rPr>
        <w:t>indicates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happens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bargains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deeply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saddened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future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wish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could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.'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mournful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embrace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inevitability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Statements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‘I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loved-ones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Rodin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Zimmermann</w:t>
      </w:r>
      <w:proofErr w:type="spellEnd"/>
      <w:r>
        <w:rPr>
          <w:color w:val="000000"/>
        </w:rPr>
        <w:t xml:space="preserve"> (2008)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>.</w:t>
      </w:r>
    </w:p>
    <w:p w14:paraId="57D74EF9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Charles</w:t>
      </w:r>
      <w:proofErr w:type="spellEnd"/>
      <w:r>
        <w:rPr>
          <w:b/>
          <w:bCs/>
          <w:color w:val="000000"/>
          <w:sz w:val="40"/>
          <w:szCs w:val="40"/>
        </w:rPr>
        <w:t xml:space="preserve"> A </w:t>
      </w:r>
      <w:proofErr w:type="spellStart"/>
      <w:r>
        <w:rPr>
          <w:b/>
          <w:bCs/>
          <w:color w:val="000000"/>
          <w:sz w:val="40"/>
          <w:szCs w:val="40"/>
        </w:rPr>
        <w:t>Corr’s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Theory</w:t>
      </w:r>
      <w:proofErr w:type="spellEnd"/>
    </w:p>
    <w:p w14:paraId="79FD92E0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Charles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researcher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attempts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educators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researchers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caregivers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beyond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Kubler-Ross</w:t>
      </w:r>
      <w:proofErr w:type="spellEnd"/>
      <w:r>
        <w:rPr>
          <w:color w:val="000000"/>
        </w:rPr>
        <w:t xml:space="preserve">’ 5-model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Wasserman</w:t>
      </w:r>
      <w:proofErr w:type="spellEnd"/>
      <w:r>
        <w:rPr>
          <w:color w:val="000000"/>
        </w:rPr>
        <w:t xml:space="preserve"> (2008) 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advocate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empowerment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broader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context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distinct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confronted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Secondly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suggests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actively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caregivers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Thirdly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emphasises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self-identification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finite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vulnerable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limited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adaptive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resilient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love</w:t>
      </w:r>
      <w:proofErr w:type="spellEnd"/>
      <w:r>
        <w:rPr>
          <w:color w:val="000000"/>
        </w:rPr>
        <w:t>. </w:t>
      </w:r>
    </w:p>
    <w:p w14:paraId="0FF89536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Conclusion</w:t>
      </w:r>
      <w:proofErr w:type="spellEnd"/>
    </w:p>
    <w:p w14:paraId="4E80F994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nutshell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widely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recognised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taboo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societies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utterly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Victorian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Funeral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culture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religion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another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cultures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religions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disposition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others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fiercely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Muslims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unclean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attempt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Kubler-Ross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a 5-stage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bereaved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shortcomings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unrealistic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dies</w:t>
      </w:r>
      <w:proofErr w:type="spellEnd"/>
      <w:r>
        <w:rPr>
          <w:color w:val="000000"/>
        </w:rPr>
        <w:t>. </w:t>
      </w:r>
    </w:p>
    <w:p w14:paraId="44F38F1D" w14:textId="77777777" w:rsidR="004D1ADC" w:rsidRDefault="004D1ADC" w:rsidP="004D1ADC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4EC61809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Basmajian</w:t>
      </w:r>
      <w:proofErr w:type="spellEnd"/>
      <w:r>
        <w:rPr>
          <w:color w:val="000000"/>
        </w:rPr>
        <w:t xml:space="preserve">, C.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Coutts</w:t>
      </w:r>
      <w:proofErr w:type="spellEnd"/>
      <w:r>
        <w:rPr>
          <w:color w:val="000000"/>
        </w:rPr>
        <w:t xml:space="preserve">, C., 2010. </w:t>
      </w:r>
      <w:proofErr w:type="spellStart"/>
      <w:r>
        <w:rPr>
          <w:color w:val="000000"/>
        </w:rPr>
        <w:t>Planning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American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Planning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Association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76</w:t>
      </w:r>
      <w:r>
        <w:rPr>
          <w:color w:val="000000"/>
        </w:rPr>
        <w:t>(3), pp.305-317.</w:t>
      </w:r>
    </w:p>
    <w:p w14:paraId="2094FC92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Chapman</w:t>
      </w:r>
      <w:proofErr w:type="spellEnd"/>
      <w:r>
        <w:rPr>
          <w:color w:val="000000"/>
        </w:rPr>
        <w:t xml:space="preserve">, R., 2013.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> 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Oxford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Handbook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Archaeology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Death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Burial</w:t>
      </w:r>
      <w:proofErr w:type="spellEnd"/>
      <w:r>
        <w:rPr>
          <w:color w:val="000000"/>
        </w:rPr>
        <w:t>, 22(13), pp.117-156. </w:t>
      </w:r>
    </w:p>
    <w:p w14:paraId="0EAA24B7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Clark</w:t>
      </w:r>
      <w:proofErr w:type="spellEnd"/>
      <w:r>
        <w:rPr>
          <w:color w:val="000000"/>
        </w:rPr>
        <w:t xml:space="preserve">, J., 2003.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innovative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'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views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>. </w:t>
      </w:r>
      <w:r>
        <w:rPr>
          <w:i/>
          <w:iCs/>
          <w:color w:val="000000"/>
        </w:rPr>
        <w:t xml:space="preserve">BMJ: </w:t>
      </w:r>
      <w:proofErr w:type="spellStart"/>
      <w:r>
        <w:rPr>
          <w:i/>
          <w:iCs/>
          <w:color w:val="000000"/>
        </w:rPr>
        <w:t>British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Medical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327</w:t>
      </w:r>
      <w:r>
        <w:rPr>
          <w:color w:val="000000"/>
        </w:rPr>
        <w:t>(7408), p.174.</w:t>
      </w:r>
    </w:p>
    <w:p w14:paraId="304F3262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lastRenderedPageBreak/>
        <w:t>Edo</w:t>
      </w:r>
      <w:r>
        <w:rPr>
          <w:rFonts w:ascii="Cambria Math" w:hAnsi="Cambria Math"/>
          <w:color w:val="000000"/>
        </w:rPr>
        <w:t>‐</w:t>
      </w:r>
      <w:r>
        <w:rPr>
          <w:color w:val="000000"/>
        </w:rPr>
        <w:t>Gual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Tomás</w:t>
      </w:r>
      <w:r>
        <w:rPr>
          <w:rFonts w:ascii="Cambria Math" w:hAnsi="Cambria Math"/>
          <w:color w:val="000000"/>
        </w:rPr>
        <w:t>‐</w:t>
      </w:r>
      <w:r>
        <w:rPr>
          <w:color w:val="000000"/>
        </w:rPr>
        <w:t>Sábado</w:t>
      </w:r>
      <w:proofErr w:type="spellEnd"/>
      <w:r>
        <w:rPr>
          <w:color w:val="000000"/>
        </w:rPr>
        <w:t xml:space="preserve">, J., </w:t>
      </w:r>
      <w:proofErr w:type="spellStart"/>
      <w:r>
        <w:rPr>
          <w:color w:val="000000"/>
        </w:rPr>
        <w:t>Bardallo</w:t>
      </w:r>
      <w:r>
        <w:rPr>
          <w:rFonts w:ascii="Cambria Math" w:hAnsi="Cambria Math"/>
          <w:color w:val="000000"/>
        </w:rPr>
        <w:t>‐</w:t>
      </w:r>
      <w:r>
        <w:rPr>
          <w:color w:val="000000"/>
        </w:rPr>
        <w:t>Porras</w:t>
      </w:r>
      <w:proofErr w:type="spellEnd"/>
      <w:r>
        <w:rPr>
          <w:color w:val="000000"/>
        </w:rPr>
        <w:t xml:space="preserve">, D.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Monforte</w:t>
      </w:r>
      <w:r>
        <w:rPr>
          <w:rFonts w:ascii="Cambria Math" w:hAnsi="Cambria Math"/>
          <w:color w:val="000000"/>
        </w:rPr>
        <w:t>‐</w:t>
      </w:r>
      <w:r>
        <w:rPr>
          <w:color w:val="000000"/>
        </w:rPr>
        <w:t>Royo</w:t>
      </w:r>
      <w:proofErr w:type="spellEnd"/>
      <w:r>
        <w:rPr>
          <w:color w:val="000000"/>
        </w:rPr>
        <w:t xml:space="preserve">, C., 2014.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explanatory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Nursing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23</w:t>
      </w:r>
      <w:r>
        <w:rPr>
          <w:color w:val="000000"/>
        </w:rPr>
        <w:t>(23-24), pp.3501-3512.</w:t>
      </w:r>
    </w:p>
    <w:p w14:paraId="694CB264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Fahlander</w:t>
      </w:r>
      <w:proofErr w:type="spellEnd"/>
      <w:r>
        <w:rPr>
          <w:color w:val="000000"/>
        </w:rPr>
        <w:t xml:space="preserve">, F.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Oestigaard</w:t>
      </w:r>
      <w:proofErr w:type="spellEnd"/>
      <w:r>
        <w:rPr>
          <w:color w:val="000000"/>
        </w:rPr>
        <w:t xml:space="preserve">, T. </w:t>
      </w:r>
      <w:proofErr w:type="spellStart"/>
      <w:r>
        <w:rPr>
          <w:color w:val="000000"/>
        </w:rPr>
        <w:t>eds</w:t>
      </w:r>
      <w:proofErr w:type="spellEnd"/>
      <w:r>
        <w:rPr>
          <w:color w:val="000000"/>
        </w:rPr>
        <w:t>., 2008. 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materiality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death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bodies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burials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beliefs</w:t>
      </w:r>
      <w:proofErr w:type="spellEnd"/>
      <w:r>
        <w:rPr>
          <w:color w:val="000000"/>
        </w:rPr>
        <w:t> (</w:t>
      </w:r>
      <w:proofErr w:type="spellStart"/>
      <w:r>
        <w:rPr>
          <w:color w:val="000000"/>
        </w:rPr>
        <w:t>pp</w:t>
      </w:r>
      <w:proofErr w:type="spellEnd"/>
      <w:r>
        <w:rPr>
          <w:color w:val="000000"/>
        </w:rPr>
        <w:t xml:space="preserve">. 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1-16). </w:t>
      </w:r>
      <w:proofErr w:type="spellStart"/>
      <w:r>
        <w:rPr>
          <w:color w:val="000000"/>
        </w:rPr>
        <w:t>Oxford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Archaeopress</w:t>
      </w:r>
      <w:proofErr w:type="spellEnd"/>
      <w:r>
        <w:rPr>
          <w:color w:val="000000"/>
        </w:rPr>
        <w:t>.</w:t>
      </w:r>
    </w:p>
    <w:p w14:paraId="3E648989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Friedman</w:t>
      </w:r>
      <w:proofErr w:type="spellEnd"/>
      <w:r>
        <w:rPr>
          <w:color w:val="000000"/>
        </w:rPr>
        <w:t xml:space="preserve">, R.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James</w:t>
      </w:r>
      <w:proofErr w:type="spellEnd"/>
      <w:r>
        <w:rPr>
          <w:color w:val="000000"/>
        </w:rPr>
        <w:t xml:space="preserve">, J.W., 2008.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grief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Skeptic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Altadena</w:t>
      </w:r>
      <w:proofErr w:type="spellEnd"/>
      <w:r>
        <w:rPr>
          <w:i/>
          <w:iCs/>
          <w:color w:val="000000"/>
        </w:rPr>
        <w:t>, CA)</w:t>
      </w:r>
      <w:r>
        <w:rPr>
          <w:color w:val="000000"/>
        </w:rPr>
        <w:t>, </w:t>
      </w:r>
      <w:r>
        <w:rPr>
          <w:i/>
          <w:iCs/>
          <w:color w:val="000000"/>
        </w:rPr>
        <w:t>14</w:t>
      </w:r>
      <w:r>
        <w:rPr>
          <w:color w:val="000000"/>
        </w:rPr>
        <w:t>(2), pp.37-42.</w:t>
      </w:r>
    </w:p>
    <w:p w14:paraId="31FD1321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Gardiner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Gott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Small</w:t>
      </w:r>
      <w:proofErr w:type="spellEnd"/>
      <w:r>
        <w:rPr>
          <w:color w:val="000000"/>
        </w:rPr>
        <w:t xml:space="preserve">, N., </w:t>
      </w:r>
      <w:proofErr w:type="spellStart"/>
      <w:r>
        <w:rPr>
          <w:color w:val="000000"/>
        </w:rPr>
        <w:t>Payne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Seamark</w:t>
      </w:r>
      <w:proofErr w:type="spellEnd"/>
      <w:r>
        <w:rPr>
          <w:color w:val="000000"/>
        </w:rPr>
        <w:t xml:space="preserve">, D., </w:t>
      </w:r>
      <w:proofErr w:type="spellStart"/>
      <w:r>
        <w:rPr>
          <w:color w:val="000000"/>
        </w:rPr>
        <w:t>Barnes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Halpin</w:t>
      </w:r>
      <w:proofErr w:type="spellEnd"/>
      <w:r>
        <w:rPr>
          <w:color w:val="000000"/>
        </w:rPr>
        <w:t xml:space="preserve">, D.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Ruse</w:t>
      </w:r>
      <w:proofErr w:type="spellEnd"/>
      <w:r>
        <w:rPr>
          <w:color w:val="000000"/>
        </w:rPr>
        <w:t xml:space="preserve">, C., 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2009.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obstructive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pulmonary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concerns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regarding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dying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Palliative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Medicine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23</w:t>
      </w:r>
      <w:r>
        <w:rPr>
          <w:color w:val="000000"/>
        </w:rPr>
        <w:t>(8), pp.691-697.</w:t>
      </w:r>
    </w:p>
    <w:p w14:paraId="54D3A1F8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Green</w:t>
      </w:r>
      <w:proofErr w:type="spellEnd"/>
      <w:r>
        <w:rPr>
          <w:color w:val="000000"/>
        </w:rPr>
        <w:t>, J.W., 2012. </w:t>
      </w:r>
      <w:proofErr w:type="spellStart"/>
      <w:r>
        <w:rPr>
          <w:i/>
          <w:iCs/>
          <w:color w:val="000000"/>
        </w:rPr>
        <w:t>Beyond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good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death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anthropology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modern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dying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Pennsylvania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</w:t>
      </w:r>
      <w:proofErr w:type="spellEnd"/>
      <w:r>
        <w:rPr>
          <w:color w:val="000000"/>
        </w:rPr>
        <w:t>.</w:t>
      </w:r>
    </w:p>
    <w:p w14:paraId="55F97DC9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Hall</w:t>
      </w:r>
      <w:proofErr w:type="spellEnd"/>
      <w:r>
        <w:rPr>
          <w:color w:val="000000"/>
        </w:rPr>
        <w:t xml:space="preserve">, C., 2011. </w:t>
      </w:r>
      <w:proofErr w:type="spellStart"/>
      <w:r>
        <w:rPr>
          <w:color w:val="000000"/>
        </w:rPr>
        <w:t>Beyond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Kubler-Ross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recent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bereavement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InPsych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Bulletin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Australian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Psychological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Society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Ltd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33</w:t>
      </w:r>
      <w:r>
        <w:rPr>
          <w:color w:val="000000"/>
        </w:rPr>
        <w:t xml:space="preserve">(6), </w:t>
      </w:r>
      <w:r>
        <w:rPr>
          <w:rStyle w:val="apple-tab-span"/>
          <w:color w:val="000000"/>
        </w:rPr>
        <w:tab/>
      </w:r>
      <w:r>
        <w:rPr>
          <w:color w:val="000000"/>
        </w:rPr>
        <w:t>p.8.</w:t>
      </w:r>
    </w:p>
    <w:p w14:paraId="5F5B67ED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Henry</w:t>
      </w:r>
      <w:proofErr w:type="spellEnd"/>
      <w:r>
        <w:rPr>
          <w:color w:val="000000"/>
        </w:rPr>
        <w:t xml:space="preserve">, A.G., </w:t>
      </w:r>
      <w:proofErr w:type="spellStart"/>
      <w:r>
        <w:rPr>
          <w:color w:val="000000"/>
        </w:rPr>
        <w:t>Brooks</w:t>
      </w:r>
      <w:proofErr w:type="spellEnd"/>
      <w:r>
        <w:rPr>
          <w:color w:val="000000"/>
        </w:rPr>
        <w:t xml:space="preserve">, A.S.,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Piperno</w:t>
      </w:r>
      <w:proofErr w:type="spellEnd"/>
      <w:r>
        <w:rPr>
          <w:color w:val="000000"/>
        </w:rPr>
        <w:t xml:space="preserve">, D.R., 2010. </w:t>
      </w:r>
      <w:proofErr w:type="spellStart"/>
      <w:r>
        <w:rPr>
          <w:color w:val="000000"/>
        </w:rPr>
        <w:t>Microfossils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calculus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demonstrate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consumption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Neanderthal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Shanidar</w:t>
      </w:r>
      <w:proofErr w:type="spellEnd"/>
      <w:r>
        <w:rPr>
          <w:color w:val="000000"/>
        </w:rPr>
        <w:t xml:space="preserve"> III, </w:t>
      </w:r>
      <w:proofErr w:type="spellStart"/>
      <w:r>
        <w:rPr>
          <w:color w:val="000000"/>
        </w:rPr>
        <w:t>Iraq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Spy</w:t>
      </w:r>
      <w:proofErr w:type="spellEnd"/>
      <w:r>
        <w:rPr>
          <w:color w:val="000000"/>
        </w:rPr>
        <w:t xml:space="preserve"> I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Belgium</w:t>
      </w:r>
      <w:proofErr w:type="spellEnd"/>
      <w:r>
        <w:rPr>
          <w:color w:val="000000"/>
        </w:rPr>
        <w:t>). </w:t>
      </w:r>
      <w:proofErr w:type="spellStart"/>
      <w:r>
        <w:rPr>
          <w:i/>
          <w:iCs/>
          <w:color w:val="000000"/>
        </w:rPr>
        <w:t>Proceedings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National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Academy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Sciences</w:t>
      </w:r>
      <w:proofErr w:type="spellEnd"/>
      <w:r>
        <w:rPr>
          <w:color w:val="000000"/>
        </w:rPr>
        <w:t>, p.201016868.</w:t>
      </w:r>
    </w:p>
    <w:p w14:paraId="50AEDC1E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Irish</w:t>
      </w:r>
      <w:proofErr w:type="spellEnd"/>
      <w:r>
        <w:rPr>
          <w:color w:val="000000"/>
        </w:rPr>
        <w:t xml:space="preserve">, D.P., </w:t>
      </w:r>
      <w:proofErr w:type="spellStart"/>
      <w:r>
        <w:rPr>
          <w:color w:val="000000"/>
        </w:rPr>
        <w:t>Lundquist</w:t>
      </w:r>
      <w:proofErr w:type="spellEnd"/>
      <w:r>
        <w:rPr>
          <w:color w:val="000000"/>
        </w:rPr>
        <w:t xml:space="preserve">, K.F.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Nelsen</w:t>
      </w:r>
      <w:proofErr w:type="spellEnd"/>
      <w:r>
        <w:rPr>
          <w:color w:val="000000"/>
        </w:rPr>
        <w:t>, V.J., 2014. </w:t>
      </w:r>
      <w:proofErr w:type="spellStart"/>
      <w:r>
        <w:rPr>
          <w:i/>
          <w:iCs/>
          <w:color w:val="000000"/>
        </w:rPr>
        <w:t>Ethnic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variations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dying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death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grief</w:t>
      </w:r>
      <w:proofErr w:type="spellEnd"/>
      <w:r>
        <w:rPr>
          <w:i/>
          <w:iCs/>
          <w:color w:val="000000"/>
        </w:rPr>
        <w:t xml:space="preserve">: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Diversity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universality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Taylor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Francis</w:t>
      </w:r>
      <w:proofErr w:type="spellEnd"/>
      <w:r>
        <w:rPr>
          <w:color w:val="000000"/>
        </w:rPr>
        <w:t>.</w:t>
      </w:r>
    </w:p>
    <w:p w14:paraId="5F3F4FC0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Kaplan</w:t>
      </w:r>
      <w:proofErr w:type="spellEnd"/>
      <w:r>
        <w:rPr>
          <w:color w:val="000000"/>
        </w:rPr>
        <w:t>, B.J., 2009. </w:t>
      </w:r>
      <w:proofErr w:type="spellStart"/>
      <w:r>
        <w:rPr>
          <w:i/>
          <w:iCs/>
          <w:color w:val="000000"/>
        </w:rPr>
        <w:t>Divided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faith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Religious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conflict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practice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toleration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early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modern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Europe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Harvard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</w:t>
      </w:r>
      <w:proofErr w:type="spellEnd"/>
      <w:r>
        <w:rPr>
          <w:color w:val="000000"/>
        </w:rPr>
        <w:t>.</w:t>
      </w:r>
    </w:p>
    <w:p w14:paraId="1AE36553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lastRenderedPageBreak/>
        <w:t>Kasket</w:t>
      </w:r>
      <w:proofErr w:type="spellEnd"/>
      <w:r>
        <w:rPr>
          <w:color w:val="000000"/>
        </w:rPr>
        <w:t xml:space="preserve">, E., 2012. </w:t>
      </w:r>
      <w:proofErr w:type="spellStart"/>
      <w:r>
        <w:rPr>
          <w:color w:val="000000"/>
        </w:rPr>
        <w:t>Continuing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networking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modern-day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medium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Bereavement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Care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31</w:t>
      </w:r>
      <w:r>
        <w:rPr>
          <w:color w:val="000000"/>
        </w:rPr>
        <w:t>(2), pp.62-69.</w:t>
      </w:r>
    </w:p>
    <w:p w14:paraId="20B2DC33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Leming</w:t>
      </w:r>
      <w:proofErr w:type="spellEnd"/>
      <w:r>
        <w:rPr>
          <w:color w:val="000000"/>
        </w:rPr>
        <w:t xml:space="preserve">, M.R.,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Dickinson</w:t>
      </w:r>
      <w:proofErr w:type="spellEnd"/>
      <w:r>
        <w:rPr>
          <w:color w:val="000000"/>
        </w:rPr>
        <w:t xml:space="preserve">, G.E., 2010. </w:t>
      </w:r>
      <w:proofErr w:type="spellStart"/>
      <w:r>
        <w:rPr>
          <w:i/>
          <w:iCs/>
          <w:color w:val="000000"/>
        </w:rPr>
        <w:t>Understanding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dying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death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bereavement</w:t>
      </w:r>
      <w:proofErr w:type="spellEnd"/>
      <w:r>
        <w:rPr>
          <w:color w:val="000000"/>
        </w:rPr>
        <w:t xml:space="preserve">.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Cengage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>.</w:t>
      </w:r>
    </w:p>
    <w:p w14:paraId="08B6491A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Lippolis</w:t>
      </w:r>
      <w:proofErr w:type="spellEnd"/>
      <w:r>
        <w:rPr>
          <w:color w:val="000000"/>
        </w:rPr>
        <w:t xml:space="preserve">, E.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Calio</w:t>
      </w:r>
      <w:proofErr w:type="spellEnd"/>
      <w:r>
        <w:rPr>
          <w:color w:val="000000"/>
        </w:rPr>
        <w:t xml:space="preserve">, L., 2016. </w:t>
      </w:r>
      <w:proofErr w:type="spellStart"/>
      <w:r>
        <w:rPr>
          <w:color w:val="000000"/>
        </w:rPr>
        <w:t>Halicarnassus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Mausoleum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Mausolus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celebrated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wonder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</w:t>
      </w:r>
      <w:proofErr w:type="spellEnd"/>
      <w:r>
        <w:rPr>
          <w:color w:val="000000"/>
        </w:rPr>
        <w:t>, 13(1), pp.213-215</w:t>
      </w:r>
    </w:p>
    <w:p w14:paraId="541F233D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Pretty</w:t>
      </w:r>
      <w:proofErr w:type="spellEnd"/>
      <w:r>
        <w:rPr>
          <w:color w:val="000000"/>
        </w:rPr>
        <w:t xml:space="preserve">, J., </w:t>
      </w:r>
      <w:proofErr w:type="spellStart"/>
      <w:r>
        <w:rPr>
          <w:color w:val="000000"/>
        </w:rPr>
        <w:t>Griffin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Peacock</w:t>
      </w:r>
      <w:proofErr w:type="spellEnd"/>
      <w:r>
        <w:rPr>
          <w:color w:val="000000"/>
        </w:rPr>
        <w:t xml:space="preserve">, J., </w:t>
      </w:r>
      <w:proofErr w:type="spellStart"/>
      <w:r>
        <w:rPr>
          <w:color w:val="000000"/>
        </w:rPr>
        <w:t>Hine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Sellens</w:t>
      </w:r>
      <w:proofErr w:type="spellEnd"/>
      <w:r>
        <w:rPr>
          <w:color w:val="000000"/>
        </w:rPr>
        <w:t xml:space="preserve">, M.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South</w:t>
      </w:r>
      <w:proofErr w:type="spellEnd"/>
      <w:r>
        <w:rPr>
          <w:color w:val="000000"/>
        </w:rPr>
        <w:t xml:space="preserve">, N., 2005. A </w:t>
      </w:r>
      <w:proofErr w:type="spellStart"/>
      <w:r>
        <w:rPr>
          <w:color w:val="000000"/>
        </w:rPr>
        <w:t>countryside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wellbeing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executive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summary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Countryside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Recreation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Network</w:t>
      </w:r>
      <w:proofErr w:type="spellEnd"/>
      <w:r>
        <w:rPr>
          <w:color w:val="000000"/>
        </w:rPr>
        <w:t>.</w:t>
      </w:r>
    </w:p>
    <w:p w14:paraId="4997CF39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Rebay-Salisbury</w:t>
      </w:r>
      <w:proofErr w:type="spellEnd"/>
      <w:r>
        <w:rPr>
          <w:color w:val="000000"/>
        </w:rPr>
        <w:t xml:space="preserve">, K., 2012. </w:t>
      </w:r>
      <w:proofErr w:type="spellStart"/>
      <w:r>
        <w:rPr>
          <w:color w:val="000000"/>
        </w:rPr>
        <w:t>Inhumation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cremation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beliefs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Embodied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knowledge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Historical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perspectives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technology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belief</w:t>
      </w:r>
      <w:proofErr w:type="spellEnd"/>
      <w:r>
        <w:rPr>
          <w:color w:val="000000"/>
        </w:rPr>
        <w:t>, pp.15-</w:t>
      </w:r>
      <w:r>
        <w:rPr>
          <w:rStyle w:val="apple-tab-span"/>
          <w:color w:val="000000"/>
        </w:rPr>
        <w:tab/>
      </w:r>
      <w:r>
        <w:rPr>
          <w:color w:val="000000"/>
        </w:rPr>
        <w:t>26.</w:t>
      </w:r>
    </w:p>
    <w:p w14:paraId="5FF5A568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Richards</w:t>
      </w:r>
      <w:proofErr w:type="spellEnd"/>
      <w:r>
        <w:rPr>
          <w:color w:val="000000"/>
        </w:rPr>
        <w:t xml:space="preserve">, N., 2012.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right-to-die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older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activism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international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Ageing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later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life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7</w:t>
      </w:r>
      <w:r>
        <w:rPr>
          <w:color w:val="000000"/>
        </w:rPr>
        <w:t>(1), pp.7-32.</w:t>
      </w:r>
    </w:p>
    <w:p w14:paraId="6DD76F9A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Rodin</w:t>
      </w:r>
      <w:proofErr w:type="spellEnd"/>
      <w:r>
        <w:rPr>
          <w:color w:val="000000"/>
        </w:rPr>
        <w:t xml:space="preserve">, G.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Zimmermann</w:t>
      </w:r>
      <w:proofErr w:type="spellEnd"/>
      <w:r>
        <w:rPr>
          <w:color w:val="000000"/>
        </w:rPr>
        <w:t xml:space="preserve">, C., 2008. </w:t>
      </w:r>
      <w:proofErr w:type="spellStart"/>
      <w:r>
        <w:rPr>
          <w:color w:val="000000"/>
        </w:rPr>
        <w:t>Psychoanalytic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mortality</w:t>
      </w:r>
      <w:proofErr w:type="spellEnd"/>
      <w:r>
        <w:rPr>
          <w:color w:val="000000"/>
        </w:rPr>
        <w:t xml:space="preserve">: a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reconsideration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American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Academy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Psychoanalysis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Dynamic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Psychiatry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36</w:t>
      </w:r>
      <w:r>
        <w:rPr>
          <w:color w:val="000000"/>
        </w:rPr>
        <w:t>(1), pp.181-196.</w:t>
      </w:r>
    </w:p>
    <w:p w14:paraId="7CE16B91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Rowbotham</w:t>
      </w:r>
      <w:proofErr w:type="spellEnd"/>
      <w:r>
        <w:rPr>
          <w:color w:val="000000"/>
        </w:rPr>
        <w:t xml:space="preserve">, J.,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Clayton</w:t>
      </w:r>
      <w:proofErr w:type="spellEnd"/>
      <w:r>
        <w:rPr>
          <w:color w:val="000000"/>
        </w:rPr>
        <w:t xml:space="preserve">, P., 2008.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unsuitable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degraded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Victorian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consumption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patterns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Royal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Society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Medicine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101</w:t>
      </w:r>
      <w:r>
        <w:rPr>
          <w:color w:val="000000"/>
        </w:rPr>
        <w:t>(9), pp.454-462.</w:t>
      </w:r>
    </w:p>
    <w:p w14:paraId="6EE886FE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Schulz</w:t>
      </w:r>
      <w:proofErr w:type="spellEnd"/>
      <w:r>
        <w:rPr>
          <w:color w:val="000000"/>
        </w:rPr>
        <w:t xml:space="preserve">, R.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Sherwood</w:t>
      </w:r>
      <w:proofErr w:type="spellEnd"/>
      <w:r>
        <w:rPr>
          <w:color w:val="000000"/>
        </w:rPr>
        <w:t xml:space="preserve">, P.R., 2008.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caregiving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Social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Work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Education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44</w:t>
      </w:r>
      <w:r>
        <w:rPr>
          <w:color w:val="000000"/>
        </w:rPr>
        <w:t>(sup3), pp.105-113.</w:t>
      </w:r>
    </w:p>
    <w:p w14:paraId="698FBF13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lastRenderedPageBreak/>
        <w:t>Semple</w:t>
      </w:r>
      <w:proofErr w:type="spellEnd"/>
      <w:r>
        <w:rPr>
          <w:color w:val="000000"/>
        </w:rPr>
        <w:t>, S., 2013. </w:t>
      </w:r>
      <w:proofErr w:type="spellStart"/>
      <w:r>
        <w:rPr>
          <w:i/>
          <w:iCs/>
          <w:color w:val="000000"/>
        </w:rPr>
        <w:t>Perceptions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Prehistoric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Anglo-Saxon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England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Religion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ritual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rulership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landscape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Oxford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</w:t>
      </w:r>
      <w:proofErr w:type="spellEnd"/>
      <w:r>
        <w:rPr>
          <w:color w:val="000000"/>
        </w:rPr>
        <w:t>.</w:t>
      </w:r>
    </w:p>
    <w:p w14:paraId="4AA21F08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Sormanti</w:t>
      </w:r>
      <w:proofErr w:type="spellEnd"/>
      <w:r>
        <w:rPr>
          <w:color w:val="000000"/>
        </w:rPr>
        <w:t xml:space="preserve">, M.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Ballan</w:t>
      </w:r>
      <w:proofErr w:type="spellEnd"/>
      <w:r>
        <w:rPr>
          <w:color w:val="000000"/>
        </w:rPr>
        <w:t xml:space="preserve">, M.S., 2011. </w:t>
      </w:r>
      <w:proofErr w:type="spellStart"/>
      <w:r>
        <w:rPr>
          <w:color w:val="000000"/>
        </w:rPr>
        <w:t>Strengthening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developmental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disabilities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School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Psychology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International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32</w:t>
      </w:r>
      <w:r>
        <w:rPr>
          <w:color w:val="000000"/>
        </w:rPr>
        <w:t>(2), pp.179-193.</w:t>
      </w:r>
    </w:p>
    <w:p w14:paraId="488D5BA9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Wasserman</w:t>
      </w:r>
      <w:proofErr w:type="spellEnd"/>
      <w:r>
        <w:rPr>
          <w:color w:val="000000"/>
        </w:rPr>
        <w:t xml:space="preserve">, L.S., 2008. </w:t>
      </w:r>
      <w:proofErr w:type="spellStart"/>
      <w:r>
        <w:rPr>
          <w:color w:val="000000"/>
        </w:rPr>
        <w:t>Respectful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end-of-life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Oncology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Nursing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12</w:t>
      </w:r>
      <w:r>
        <w:rPr>
          <w:color w:val="000000"/>
        </w:rPr>
        <w:t>(4), p.621.</w:t>
      </w:r>
    </w:p>
    <w:p w14:paraId="72022F7E" w14:textId="77777777" w:rsidR="004D1ADC" w:rsidRDefault="004D1ADC" w:rsidP="004D1ADC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Watanabe-O'Kelly</w:t>
      </w:r>
      <w:proofErr w:type="spellEnd"/>
      <w:r>
        <w:rPr>
          <w:color w:val="000000"/>
        </w:rPr>
        <w:t xml:space="preserve">, H., 2017.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festivals</w:t>
      </w:r>
      <w:proofErr w:type="spellEnd"/>
      <w:r>
        <w:rPr>
          <w:color w:val="000000"/>
        </w:rPr>
        <w:t>—</w:t>
      </w:r>
      <w:proofErr w:type="spellStart"/>
      <w:r>
        <w:rPr>
          <w:color w:val="000000"/>
        </w:rPr>
        <w:t>politics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performance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event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> </w:t>
      </w:r>
      <w:proofErr w:type="spellStart"/>
      <w:r>
        <w:rPr>
          <w:i/>
          <w:iCs/>
          <w:color w:val="000000"/>
        </w:rPr>
        <w:t>Court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Festivals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European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Renaissance</w:t>
      </w:r>
      <w:proofErr w:type="spellEnd"/>
      <w:r>
        <w:rPr>
          <w:color w:val="000000"/>
        </w:rPr>
        <w:t> (</w:t>
      </w:r>
      <w:proofErr w:type="spellStart"/>
      <w:r>
        <w:rPr>
          <w:color w:val="000000"/>
        </w:rPr>
        <w:t>pp</w:t>
      </w:r>
      <w:proofErr w:type="spellEnd"/>
      <w:r>
        <w:rPr>
          <w:color w:val="000000"/>
        </w:rPr>
        <w:t xml:space="preserve">. 15-25). </w:t>
      </w:r>
      <w:proofErr w:type="spellStart"/>
      <w:r>
        <w:rPr>
          <w:color w:val="000000"/>
        </w:rPr>
        <w:t>Routledge</w:t>
      </w:r>
      <w:proofErr w:type="spellEnd"/>
      <w:r>
        <w:rPr>
          <w:color w:val="000000"/>
        </w:rPr>
        <w:t>.</w:t>
      </w:r>
    </w:p>
    <w:p w14:paraId="5ED5AE55" w14:textId="77777777" w:rsidR="00F85BE8" w:rsidRDefault="00F85BE8"/>
    <w:sectPr w:rsidR="00F8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68"/>
    <w:rsid w:val="004D1ADC"/>
    <w:rsid w:val="008D4868"/>
    <w:rsid w:val="00F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6CAAB-F685-4C13-858C-B73FBEC8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4D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3231</Words>
  <Characters>18423</Characters>
  <Application>Microsoft Office Word</Application>
  <DocSecurity>0</DocSecurity>
  <Lines>153</Lines>
  <Paragraphs>43</Paragraphs>
  <ScaleCrop>false</ScaleCrop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2023-03-03T11:01:00Z</dcterms:created>
  <dcterms:modified xsi:type="dcterms:W3CDTF">2023-03-03T11:02:00Z</dcterms:modified>
</cp:coreProperties>
</file>