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B537A" w14:textId="77777777" w:rsidR="002859C9" w:rsidRDefault="002859C9" w:rsidP="002859C9">
      <w:pPr>
        <w:pStyle w:val="Heading1"/>
        <w:spacing w:before="480" w:beforeAutospacing="0" w:after="0" w:afterAutospacing="0" w:line="480" w:lineRule="auto"/>
        <w:jc w:val="center"/>
      </w:pPr>
      <w:r>
        <w:rPr>
          <w:rFonts w:ascii="Arial" w:hAnsi="Arial" w:cs="Arial"/>
          <w:color w:val="000000"/>
        </w:rPr>
        <w:t>How Healthcare Organisations Can Enhance Team Effectiveness</w:t>
      </w:r>
    </w:p>
    <w:p w14:paraId="070E30E3" w14:textId="77777777" w:rsidR="002859C9" w:rsidRDefault="002859C9" w:rsidP="002859C9">
      <w:pPr>
        <w:pStyle w:val="NormalWeb"/>
        <w:spacing w:before="0" w:beforeAutospacing="0" w:after="200" w:afterAutospacing="0" w:line="480" w:lineRule="auto"/>
      </w:pPr>
      <w:r>
        <w:rPr>
          <w:rFonts w:ascii="Arial" w:hAnsi="Arial" w:cs="Arial"/>
          <w:color w:val="000000"/>
        </w:rPr>
        <w:t>          Team effectiveness is a critical aspect in the healthcare sector. In the recent past, many healthcare organisations have exhibited interest in developing strategies for enhancing team effectiveness. There is evidence that effective teamwork has become the ultimate competitive advantage in the modern day. Notably, effective teamwork can deliver positive outcomes that surpass the outcome of any other strategy. The success of any organisation depends on the effectiveness of teamwork (Kilpatrick et al., 2011). Healthcare organisations have been keen to embrace some of the strategies used in other business sectors to increase team effectiveness. In the healthcare sector, teamwork is of critical importance because it is a significant contributor to the quality of care delivered (Proenca, 2007). For this reason, healthcare organisations must recognise the benefits of teamwork and implement effective strategies for enhancing team effectiveness. Rubin, Plovnick, and Fry's GRPI Model of Team Effectiveness is one of the effective models that healthcare organisations can use in promoting team effectiveness as this paper will demonstrate. </w:t>
      </w:r>
    </w:p>
    <w:p w14:paraId="46762578" w14:textId="77777777" w:rsidR="002859C9" w:rsidRDefault="002859C9" w:rsidP="002859C9">
      <w:pPr>
        <w:pStyle w:val="Heading2"/>
        <w:spacing w:before="200" w:line="480" w:lineRule="auto"/>
      </w:pPr>
      <w:r>
        <w:rPr>
          <w:rFonts w:ascii="Arial" w:hAnsi="Arial" w:cs="Arial"/>
          <w:color w:val="000000"/>
          <w:sz w:val="40"/>
          <w:szCs w:val="40"/>
        </w:rPr>
        <w:t>Context</w:t>
      </w:r>
    </w:p>
    <w:p w14:paraId="3D883E7E" w14:textId="77777777" w:rsidR="002859C9" w:rsidRDefault="002859C9" w:rsidP="002859C9">
      <w:pPr>
        <w:pStyle w:val="NormalWeb"/>
        <w:spacing w:before="0" w:beforeAutospacing="0" w:after="200" w:afterAutospacing="0" w:line="480" w:lineRule="auto"/>
        <w:ind w:firstLine="720"/>
      </w:pPr>
      <w:r>
        <w:rPr>
          <w:rFonts w:ascii="Arial" w:hAnsi="Arial" w:cs="Arial"/>
          <w:color w:val="000000"/>
        </w:rPr>
        <w:t xml:space="preserve">The Rubin, Plovnick, and Fry's GRPI Model of Team Effectiveness is one of the oldest models that organisations have been using to enhance teamwork. The model helps in identifying the most critical factors that affect the process of team development. The model empowers organisations to critically consider the most fundamental aspects that register an impact on teamwork (Katzenbach &amp; Smith, 2015). The model has four </w:t>
      </w:r>
      <w:r>
        <w:rPr>
          <w:rFonts w:ascii="Arial" w:hAnsi="Arial" w:cs="Arial"/>
          <w:color w:val="000000"/>
        </w:rPr>
        <w:lastRenderedPageBreak/>
        <w:t>distinct dimensions; namely, goals, roles and responsibilities, process and procedures, and interpersonal relationships as indicated in Figure 1 below. The goals represent the main objectives that a healthcare organisation seeks to accomplish. The roles and responsibilities denote the specific tasks that each member of the team must complete (Heinemann &amp; Zeiss, 2002). Process and procedures include the various activities such as communication procedures, decision-making, and problem-solving affecting teamwork. Interpersonal relationships represent the fourth dimension and denote the kind of relationships that the team members establish. Under interpersonal relationships, there is a critical consideration of whether team members collaborate effectively and support each other.</w:t>
      </w:r>
    </w:p>
    <w:p w14:paraId="2ED22FB5" w14:textId="77777777" w:rsidR="002859C9" w:rsidRDefault="002859C9" w:rsidP="002859C9">
      <w:pPr>
        <w:pStyle w:val="NormalWeb"/>
        <w:spacing w:before="0" w:beforeAutospacing="0" w:after="200" w:afterAutospacing="0" w:line="480" w:lineRule="auto"/>
        <w:jc w:val="center"/>
      </w:pPr>
      <w:r>
        <w:rPr>
          <w:rFonts w:ascii="Arial" w:hAnsi="Arial" w:cs="Arial"/>
          <w:b/>
          <w:bCs/>
          <w:color w:val="000000"/>
        </w:rPr>
        <w:br/>
      </w:r>
      <w:r>
        <w:rPr>
          <w:rFonts w:ascii="Arial" w:hAnsi="Arial" w:cs="Arial"/>
          <w:color w:val="000000"/>
        </w:rPr>
        <w:t>Figure 1 showing the four dimensions of the GRPI Model</w:t>
      </w:r>
    </w:p>
    <w:p w14:paraId="507CF49D" w14:textId="77777777" w:rsidR="002859C9" w:rsidRDefault="002859C9" w:rsidP="002859C9">
      <w:pPr>
        <w:pStyle w:val="NormalWeb"/>
        <w:spacing w:before="0" w:beforeAutospacing="0" w:after="200" w:afterAutospacing="0" w:line="480" w:lineRule="auto"/>
        <w:ind w:firstLine="720"/>
      </w:pPr>
      <w:r>
        <w:rPr>
          <w:rFonts w:ascii="Arial" w:hAnsi="Arial" w:cs="Arial"/>
          <w:color w:val="000000"/>
        </w:rPr>
        <w:t xml:space="preserve">Scholars have referred this model to as GRPI, reflecting the function of each dimension highlighted in the framework. The model applies to healthcare organisations that seek to establish a higher level of team effectiveness (Bendaly &amp; Bendaly, 2012). Particularly, the framework registers positive outcomes when organisations use it in the initial phases of developing teamwork. The most important aspect of this model is the identification of a specific goal that the team seeks to accomplish. The identification of the goal is a critical aspect because it determines the expected outcomes that the group members anticipate (Salas, 2013). Moreover, the goal serves as the overall purpose of the team. With a goal identified, it becomes easier for the team members to visualise the various tasks that are necessary for the achievement of the goal. Scholars have highlighted that the process of identifying the goal also helps the team members to highlight the standard and expectations governing the achievement of the goal. Identifying the team goal also establishes team priorities and highlights the deadlines for </w:t>
      </w:r>
      <w:r>
        <w:rPr>
          <w:rFonts w:ascii="Arial" w:hAnsi="Arial" w:cs="Arial"/>
          <w:color w:val="000000"/>
        </w:rPr>
        <w:lastRenderedPageBreak/>
        <w:t>the achievement of each milestone. Proper goal setting helps the team to recognise its boundaries and to remain within its identified mandate. </w:t>
      </w:r>
    </w:p>
    <w:p w14:paraId="64C11E46" w14:textId="77777777" w:rsidR="002859C9" w:rsidRDefault="002859C9" w:rsidP="002859C9">
      <w:pPr>
        <w:pStyle w:val="NormalWeb"/>
        <w:spacing w:before="0" w:beforeAutospacing="0" w:after="200" w:afterAutospacing="0" w:line="480" w:lineRule="auto"/>
        <w:ind w:firstLine="720"/>
      </w:pPr>
      <w:r>
        <w:rPr>
          <w:rFonts w:ascii="Arial" w:hAnsi="Arial" w:cs="Arial"/>
          <w:color w:val="000000"/>
        </w:rPr>
        <w:t>The role clarification represents the second dimension highlighted in the GRIP framework. With the specified goal in mind, it is possible to assign roles and responsibilities that each team member will embrace. The team leader plays a critical role in the clarification of individual responsibilities for each of the team members (Tartell, 2016). The team members must agree on the responsibilities and resources necessary for each task. It is imperative to develop a concept of both individual and shared responsibilities when clarifying the roles of the team. Establishing proper boundaries to govern role designation is of critical importance. There has been an emphasis on the need for authority and autonomy of each team member during the process of defining roles and responsibilities (Bendaly &amp; Bendaly, 2012). Each team member must participate in the designation of roles and agree to both individual and shared responsibilities. The sharing of roles and responsibilities depends on the skills and competencies of each team member. In the healthcare sector, the competencies of healthcare providers vary significantly. As a result, it is imperative to designate tasks and share responsibilities in agreement with individual competencies. </w:t>
      </w:r>
    </w:p>
    <w:p w14:paraId="5FB34B34" w14:textId="77777777" w:rsidR="002859C9" w:rsidRDefault="002859C9" w:rsidP="002859C9">
      <w:pPr>
        <w:pStyle w:val="NormalWeb"/>
        <w:spacing w:before="0" w:beforeAutospacing="0" w:after="200" w:afterAutospacing="0" w:line="480" w:lineRule="auto"/>
        <w:ind w:firstLine="720"/>
      </w:pPr>
      <w:r>
        <w:rPr>
          <w:rFonts w:ascii="Arial" w:hAnsi="Arial" w:cs="Arial"/>
          <w:color w:val="000000"/>
        </w:rPr>
        <w:t xml:space="preserve">Under process and procedures, the team must focus on decision-making processes, conflict management processes, problem-solving, as well as communication issues. On the other hand, it is important to give attention to work processes that contribute to the achievement of the identified goal. Both team processes and work processes require a critical approach from the team members (Salas, 2013). Having a realistic representation of all the procedures and processes will help the team remain focused on the important issues. When considering the processes and procedures, the team must identify the critical success factors that determine the achievement of goals. These critical success factors need inclusion in the processes and procedures. The </w:t>
      </w:r>
      <w:r>
        <w:rPr>
          <w:rFonts w:ascii="Arial" w:hAnsi="Arial" w:cs="Arial"/>
          <w:color w:val="000000"/>
        </w:rPr>
        <w:lastRenderedPageBreak/>
        <w:t>team must establish a proper plan for all the activities listed. Such an effective action plan empowers the team members to achieve more. The team must also put in place monitoring systems and key indicators of success for each operation or process. The team must successfully highlight the various milestones and schedule that will govern the implementation of each process (Katzenbach &amp; Smith, 2015). On the dimension of interpersonal relationships, the framework highlights that team members need to consider the basis of relationships among members. The team must identify the preferred communication pattern as well as the desirable core values that will improve interpersonal relationships. The team must establish rules that will govern effective collaboration in both problem-solving as well as the completion of tasks. </w:t>
      </w:r>
    </w:p>
    <w:p w14:paraId="7C58F9AE" w14:textId="77777777" w:rsidR="002859C9" w:rsidRDefault="002859C9" w:rsidP="002859C9">
      <w:pPr>
        <w:pStyle w:val="Heading2"/>
        <w:spacing w:before="200" w:line="480" w:lineRule="auto"/>
      </w:pPr>
      <w:r>
        <w:rPr>
          <w:rFonts w:ascii="Arial" w:hAnsi="Arial" w:cs="Arial"/>
          <w:color w:val="000000"/>
          <w:sz w:val="40"/>
          <w:szCs w:val="40"/>
        </w:rPr>
        <w:t>Discussion</w:t>
      </w:r>
    </w:p>
    <w:p w14:paraId="7C6F88B6" w14:textId="77777777" w:rsidR="002859C9" w:rsidRDefault="002859C9" w:rsidP="002859C9">
      <w:pPr>
        <w:pStyle w:val="NormalWeb"/>
        <w:spacing w:before="0" w:beforeAutospacing="0" w:after="200" w:afterAutospacing="0" w:line="480" w:lineRule="auto"/>
        <w:ind w:firstLine="720"/>
      </w:pPr>
      <w:r>
        <w:rPr>
          <w:rFonts w:ascii="Arial" w:hAnsi="Arial" w:cs="Arial"/>
          <w:color w:val="000000"/>
        </w:rPr>
        <w:t>Healthcare organisations can rely on the GRPI Model in enhancing team effectiveness. Teams in the healthcare sector need to establish a specific goal that they need to achieve. For instance, an interdisciplinary team should be able to identify a goal that will serve as the overall purpose of the team. Without a clear goal, many teams lack proper direction because the members do not have a shared vision. In the healthcare sector, the goal for many teams is to deliver quality patient care (Lencioni, 2012). For this reason, each team must be able to identify a specific goal that conforms to the needs of the patients. Such a goal will help the team members to have a sense of purpose and to anticipate certain outcomes. Before the determination of the goal, a team must consider the specific needs of patients. In the healthcare sector, patient needs represent the most integral aspect (Katzenbach &amp; Smith, 2015). For this reason, the healthcare sector should comprise of teams that have specified goals. In many cases, team members who feel that the group does not have a sense of purpose do not contribute to the activities of the team. </w:t>
      </w:r>
    </w:p>
    <w:p w14:paraId="5DDC9BBC" w14:textId="77777777" w:rsidR="002859C9" w:rsidRDefault="002859C9" w:rsidP="002859C9">
      <w:pPr>
        <w:pStyle w:val="NormalWeb"/>
        <w:spacing w:before="0" w:beforeAutospacing="0" w:after="200" w:afterAutospacing="0" w:line="480" w:lineRule="auto"/>
        <w:ind w:firstLine="720"/>
      </w:pPr>
      <w:r>
        <w:rPr>
          <w:rFonts w:ascii="Arial" w:hAnsi="Arial" w:cs="Arial"/>
          <w:color w:val="000000"/>
        </w:rPr>
        <w:lastRenderedPageBreak/>
        <w:t>Healthcare organisations can empower teams by helping them to develop team goals that conform to the larger organisational goals. The main team goal should reflect the desired outcome that each team member should anticipate. Moreover, the clarification of the goal presents the team members with a better understanding of the main tasks that will define the achievement of the goal. The team members must highlight the conformity to existing standards and expectations when clarifying the goal (Lencioni, 2012). In the healthcare sector, priorities are of the greatest essence and may determine the outcomes of the patient. Healthcare organisation can enhance team effectiveness by gaining a deeper appreciation of the need for teams to critically designate tasks to each member (Rubin, Plovnick, &amp; Fry, 2008). For interdisciplinary teams in the healthcare sector, role clarification enables each healthcare provider to recognise the specific tasks assigned in agreement with personal competencies. </w:t>
      </w:r>
    </w:p>
    <w:p w14:paraId="734F719B" w14:textId="77777777" w:rsidR="002859C9" w:rsidRDefault="002859C9" w:rsidP="002859C9">
      <w:pPr>
        <w:pStyle w:val="NormalWeb"/>
        <w:spacing w:before="0" w:beforeAutospacing="0" w:after="200" w:afterAutospacing="0" w:line="480" w:lineRule="auto"/>
        <w:ind w:firstLine="720"/>
      </w:pPr>
      <w:r>
        <w:rPr>
          <w:rFonts w:ascii="Arial" w:hAnsi="Arial" w:cs="Arial"/>
          <w:color w:val="000000"/>
        </w:rPr>
        <w:t>The purpose of interdisciplinary teams is to foster collaboration of different experts with the objective of registering positive patient outcomes. For this reason, the dimension of roles and responsibilities must have a direct connection with individual competencies and skills. Each healthcare provider in the interprofessional team should be able to embrace roles and responsibilities that conform to the main objectives and goals of the team. The team leader is responsible for ascertaining that each works on responsibilities that conform to both core competencies and the scope of practice (Katzenbach &amp; Smith, 2015). The team members must agree on individual and shared responsibilities among the team members (Heinemann &amp; Zeiss, 2002). The value of autonomy, authority, and consultations is evident when dealing with the definition of roles and responsibilities. The team members must also highlight the importance of enhancing autonomy as they work on the designated roles. </w:t>
      </w:r>
    </w:p>
    <w:p w14:paraId="49C6403E" w14:textId="77777777" w:rsidR="002859C9" w:rsidRDefault="002859C9" w:rsidP="002859C9">
      <w:pPr>
        <w:pStyle w:val="NormalWeb"/>
        <w:spacing w:before="0" w:beforeAutospacing="0" w:after="200" w:afterAutospacing="0" w:line="480" w:lineRule="auto"/>
        <w:ind w:firstLine="720"/>
      </w:pPr>
      <w:r>
        <w:rPr>
          <w:rFonts w:ascii="Arial" w:hAnsi="Arial" w:cs="Arial"/>
          <w:color w:val="000000"/>
        </w:rPr>
        <w:t xml:space="preserve">Healthcare organisations can also promote team effectiveness by giving attention to the dimension of processes and procedures. Particularly, an effective team usually </w:t>
      </w:r>
      <w:r>
        <w:rPr>
          <w:rFonts w:ascii="Arial" w:hAnsi="Arial" w:cs="Arial"/>
          <w:color w:val="000000"/>
        </w:rPr>
        <w:lastRenderedPageBreak/>
        <w:t>defined rules on how to handle decision-making processes, conflict resolution, and solving problems. These team processes ensure that the team remains functional throughout different stages (Bendaly &amp; Bendaly, 2012). On the other hand, healthcare organisations can emphasise the need for mapping different work processes for each team. The work processes represent a set of all the operations and activities that the team must complete. The team members should be able to highlight the critical success factors that govern the achievement of the main goal (Salas, 2013). Moreover, at the early stages of the team formation, the team members must be able to agree on a specific plan for the implementation of different activities. Under the processes and procedures dimension, the team members must monitor each of the activities successfully. If teams in the healthcare sector master each of these dimensions, then the level of team effectiveness will be highly significant. Interpersonal relationships with healthcare teams determine the level of collaboration among the team members. Specifically, healthcare teams must establish proper working relationships with each other to foster collaboration. The dimension of interpersonal relationships also gives attention to the level of trust, honesty, communication, and flexibility that each member should exhibit (Tartell, 2016). However, the GRIP model presents certain undesirable limitations. Specifically, the model does not reflect the emotional connections that govern a team over time. Particularly, the model assumes that teams always present structured entities. However, the reality is that teams work under the influence of the emotional attachments that team members develop. Other critics have argued that the model only considers team performance at a specific point only without giving attention to the entire lifecycle of the team. </w:t>
      </w:r>
    </w:p>
    <w:p w14:paraId="559B6AF5" w14:textId="77777777" w:rsidR="002859C9" w:rsidRDefault="002859C9" w:rsidP="002859C9">
      <w:pPr>
        <w:pStyle w:val="Heading2"/>
        <w:spacing w:before="200" w:line="480" w:lineRule="auto"/>
      </w:pPr>
      <w:r>
        <w:rPr>
          <w:rFonts w:ascii="Arial" w:hAnsi="Arial" w:cs="Arial"/>
          <w:color w:val="000000"/>
          <w:sz w:val="40"/>
          <w:szCs w:val="40"/>
        </w:rPr>
        <w:lastRenderedPageBreak/>
        <w:t>Summary</w:t>
      </w:r>
    </w:p>
    <w:p w14:paraId="46630A14" w14:textId="77777777" w:rsidR="002859C9" w:rsidRDefault="002859C9" w:rsidP="002859C9">
      <w:pPr>
        <w:pStyle w:val="NormalWeb"/>
        <w:spacing w:before="0" w:beforeAutospacing="0" w:after="200" w:afterAutospacing="0" w:line="480" w:lineRule="auto"/>
        <w:ind w:firstLine="720"/>
      </w:pPr>
      <w:r>
        <w:rPr>
          <w:rFonts w:ascii="Arial" w:hAnsi="Arial" w:cs="Arial"/>
          <w:color w:val="000000"/>
        </w:rPr>
        <w:t>Undoubtedly, healthcare organisations can utilise the GRPI model to increase team effectiveness. The model presents a reliable framework that can help teams to understand the various dimensions that determine team effectiveness. The application of the model in the healthcare sector is likely to register positive outcomes. Interdisciplinary teams can use this model to register outstanding outcomes in improving patient safety and the quality of care delivered (Bendaly &amp; Bendaly, 2012). Healthcare organisations that apply this model often have smooth running teams that register positive outcomes. In the future, healthcare organisations that are forming new teams should give attention to this framework because of its ability to guide the team members on teamwork success. The effectiveness of the model discussed above depends on the ability of the team members to define specific goal, roles, processes, and to discuss the basis of interpersonal relationships. The team members must agree on both individual and shared responsibility as a critical aspect that determines team effectiveness. When using this model, it is imperative to have in mind its main limitations of giving attention to only a specific period. Moreover, the model does not give attention to the emotional aspects of the relationships that a team develops with time. </w:t>
      </w:r>
    </w:p>
    <w:p w14:paraId="60866945" w14:textId="77777777" w:rsidR="002859C9" w:rsidRDefault="002859C9" w:rsidP="002859C9">
      <w:pPr>
        <w:pStyle w:val="Heading2"/>
        <w:spacing w:before="200" w:line="480" w:lineRule="auto"/>
      </w:pPr>
      <w:r>
        <w:rPr>
          <w:rFonts w:ascii="Arial" w:hAnsi="Arial" w:cs="Arial"/>
          <w:color w:val="000000"/>
          <w:sz w:val="40"/>
          <w:szCs w:val="40"/>
        </w:rPr>
        <w:t>Conclusion</w:t>
      </w:r>
    </w:p>
    <w:p w14:paraId="1F816B43" w14:textId="77777777" w:rsidR="002859C9" w:rsidRDefault="002859C9" w:rsidP="002859C9">
      <w:pPr>
        <w:pStyle w:val="NormalWeb"/>
        <w:spacing w:before="0" w:beforeAutospacing="0" w:after="200" w:afterAutospacing="0" w:line="480" w:lineRule="auto"/>
        <w:ind w:firstLine="720"/>
      </w:pPr>
      <w:r>
        <w:rPr>
          <w:rFonts w:ascii="Arial" w:hAnsi="Arial" w:cs="Arial"/>
          <w:color w:val="000000"/>
        </w:rPr>
        <w:t xml:space="preserve">As mentioned above, team effectiveness has become a common goal in the healthcare sector. There is evidence suggesting that effective teamwork leads to the development of better systems for health care delivery. Interdisciplinary teamwork is the most critical aspect that determines whether healthcare organisations can meet the needs of patients adequately (Lencioni, 2012). Different healthcare providers need to work together through effective collaboration so that they can register positive patient outcomes. With such an understanding, healthcare organisations have exhibited </w:t>
      </w:r>
      <w:r>
        <w:rPr>
          <w:rFonts w:ascii="Arial" w:hAnsi="Arial" w:cs="Arial"/>
          <w:color w:val="000000"/>
        </w:rPr>
        <w:lastRenderedPageBreak/>
        <w:t>interest in enhancing team effectiveness. For teamwork to be effective, each of the team members must exhibit a significant level of competency in health care delivery. Healthcare providers must take several steps in ensuring that they contribute significantly to effective teamwork (Rubin, Plovnick, &amp; Fry, 2008). Without the contribution of each team member, it is practically impossible to register the expected outcomes. The healthcare sector has faced challenges in enhancing team effectiveness. The challenges surround the lack of training on the significance of teamwork in nursing and medical schools. Many health care providers lack the critical understanding that should govern effective teamwork. The GRPI model offers a reliable framework for healthcare organisations to increase team effectiveness. However, the model is effective for teams in the formation stage. When using this model, it is important to consider the emotional life of teams under the interrelationships dimension. Moreover, leaders who use this model must develop effective strategies of applying the model in different stages of the team. Nevertheless, these limitations do not limit the effectiveness of the model significantly. </w:t>
      </w:r>
    </w:p>
    <w:p w14:paraId="42FCB218" w14:textId="77777777" w:rsidR="002859C9" w:rsidRDefault="002859C9" w:rsidP="002859C9">
      <w:pPr>
        <w:pStyle w:val="Heading1"/>
        <w:spacing w:before="480" w:beforeAutospacing="0" w:after="0" w:afterAutospacing="0" w:line="480" w:lineRule="auto"/>
      </w:pPr>
      <w:r>
        <w:rPr>
          <w:rFonts w:ascii="Arial" w:hAnsi="Arial" w:cs="Arial"/>
          <w:color w:val="000000"/>
          <w:sz w:val="40"/>
          <w:szCs w:val="40"/>
        </w:rPr>
        <w:t>Section B: Assessment of Culture in the Intensive Care Unit Using the Competing Values Framework</w:t>
      </w:r>
    </w:p>
    <w:p w14:paraId="73492ADE" w14:textId="77777777" w:rsidR="002859C9" w:rsidRDefault="002859C9" w:rsidP="002859C9">
      <w:pPr>
        <w:pStyle w:val="NormalWeb"/>
        <w:spacing w:before="0" w:beforeAutospacing="0" w:after="200" w:afterAutospacing="0" w:line="480" w:lineRule="auto"/>
      </w:pPr>
      <w:r>
        <w:rPr>
          <w:rFonts w:ascii="Arial" w:hAnsi="Arial" w:cs="Arial"/>
          <w:color w:val="000000"/>
        </w:rPr>
        <w:t xml:space="preserve">          Organisational culture is of critical importance and serves as a determinant of the existing working environment. In the healthcare sector, organisational culture determines whether there is an existing favourable environment for the delivery of quality services. Organisational culture denotes shared fundamental values, belief systems, as well as assumptions that influence the behavioural patterns of employees (Tregunno et al., 2004). There is evidence that organisational culture is a socially </w:t>
      </w:r>
      <w:r>
        <w:rPr>
          <w:rFonts w:ascii="Arial" w:hAnsi="Arial" w:cs="Arial"/>
          <w:color w:val="000000"/>
        </w:rPr>
        <w:lastRenderedPageBreak/>
        <w:t>constructed concept. Employees act under the influence of the organisational culture and often share the belief systems with new employees. For this reason, it is important to assess the organisational culture in the intensive care unit because of the significance of the healthcare services delivered in the unit. The intensive care unit requires successful collaboration among all the health care providers working in the unit (Adams, Dawson, &amp; Foureur, 2017). </w:t>
      </w:r>
    </w:p>
    <w:p w14:paraId="58FE72EB" w14:textId="77777777" w:rsidR="002859C9" w:rsidRDefault="002859C9" w:rsidP="002859C9">
      <w:pPr>
        <w:pStyle w:val="Heading2"/>
        <w:spacing w:before="200" w:line="480" w:lineRule="auto"/>
      </w:pPr>
      <w:r>
        <w:rPr>
          <w:rFonts w:ascii="Arial" w:hAnsi="Arial" w:cs="Arial"/>
          <w:color w:val="000000"/>
          <w:sz w:val="40"/>
          <w:szCs w:val="40"/>
        </w:rPr>
        <w:t>Context</w:t>
      </w:r>
    </w:p>
    <w:p w14:paraId="348B8D58" w14:textId="77777777" w:rsidR="002859C9" w:rsidRDefault="002859C9" w:rsidP="002859C9">
      <w:pPr>
        <w:pStyle w:val="NormalWeb"/>
        <w:spacing w:before="0" w:beforeAutospacing="0" w:after="200" w:afterAutospacing="0" w:line="480" w:lineRule="auto"/>
        <w:ind w:firstLine="720"/>
      </w:pPr>
      <w:r>
        <w:rPr>
          <w:rFonts w:ascii="Arial" w:hAnsi="Arial" w:cs="Arial"/>
          <w:color w:val="000000"/>
        </w:rPr>
        <w:t>On the other hand, a positive culture encourages effective collaboration and the establishment of positive relationships that influence care delivery. For this reason, the use of the competing values framework will help in determining the existing culture in the intensive care unit. The competing values framework denotes a cultural assessment framework that helps organisations to determine whether their focus is on internal focus and integration or external focus and differentiation (Mannion, Davies, Marshall, &amp; Dawsonera, 2005). Many organisations have used the framework successfully in determining organisational and departmental culture. Health organisations rely on the competing values framework as the most effective model of assessing organisational culture. Specifically, healthcare organisations recognise how organisational culture affects their performance or the implementation of quality improvement measures (Scott, 2009). Many healthcare organisations have also noted that the prevailing culture may compromise the quality and efficiency of care delivered and limit team effectiveness. Organisational culture has the potential to determine the satisfaction of healthcare providers as well as patient satisfaction. </w:t>
      </w:r>
    </w:p>
    <w:p w14:paraId="68BA38FD" w14:textId="77777777" w:rsidR="002859C9" w:rsidRDefault="002859C9" w:rsidP="002859C9">
      <w:pPr>
        <w:pStyle w:val="NormalWeb"/>
        <w:spacing w:before="0" w:beforeAutospacing="0" w:after="200" w:afterAutospacing="0" w:line="480" w:lineRule="auto"/>
        <w:ind w:firstLine="720"/>
      </w:pPr>
      <w:r>
        <w:rPr>
          <w:rFonts w:ascii="Arial" w:hAnsi="Arial" w:cs="Arial"/>
          <w:color w:val="000000"/>
        </w:rPr>
        <w:t xml:space="preserve">The competing values framework emerged as a conceptual framework that integrates various criteria that define organisational effectiveness. The framework represents an integration of organisational theories and points out those healthcare </w:t>
      </w:r>
      <w:r>
        <w:rPr>
          <w:rFonts w:ascii="Arial" w:hAnsi="Arial" w:cs="Arial"/>
          <w:color w:val="000000"/>
        </w:rPr>
        <w:lastRenderedPageBreak/>
        <w:t>organisations can be categorised based on two dimensions (White &amp; Dudley-Brown, 2012). Each of the dimensions in the framework represents the specific measures of approaches that organisations can use to resolve challenges. For this reason, the framework has various sets of competing values that determine how organisations operate as indicated in Figure 2 below. The first set of competing values focuses on the issue of centralisation versus decentralisation (Braithwaite et al., 2010). The initial set of competing values also considers rigidity versus flexibility of the organisation. The next set of the competing values seeks to determine whether an organisation focuses on the internal or the external environment. </w:t>
      </w:r>
    </w:p>
    <w:p w14:paraId="4B2941D0" w14:textId="77777777" w:rsidR="002859C9" w:rsidRDefault="002859C9" w:rsidP="002859C9">
      <w:pPr>
        <w:pStyle w:val="NormalWeb"/>
        <w:spacing w:before="0" w:beforeAutospacing="0" w:after="200" w:afterAutospacing="0" w:line="480" w:lineRule="auto"/>
        <w:jc w:val="center"/>
      </w:pPr>
      <w:r>
        <w:rPr>
          <w:rFonts w:ascii="Arial" w:hAnsi="Arial" w:cs="Arial"/>
          <w:b/>
          <w:bCs/>
          <w:color w:val="000000"/>
        </w:rPr>
        <w:br/>
      </w:r>
      <w:r>
        <w:rPr>
          <w:rFonts w:ascii="Arial" w:hAnsi="Arial" w:cs="Arial"/>
          <w:color w:val="000000"/>
        </w:rPr>
        <w:t>Figure 2 showing the competing values framework map</w:t>
      </w:r>
    </w:p>
    <w:p w14:paraId="08CEA4BA" w14:textId="77777777" w:rsidR="002859C9" w:rsidRDefault="002859C9" w:rsidP="002859C9">
      <w:pPr>
        <w:pStyle w:val="NormalWeb"/>
        <w:spacing w:before="0" w:beforeAutospacing="0" w:after="200" w:afterAutospacing="0" w:line="480" w:lineRule="auto"/>
        <w:ind w:firstLine="720"/>
      </w:pPr>
      <w:r>
        <w:rPr>
          <w:rFonts w:ascii="Arial" w:hAnsi="Arial" w:cs="Arial"/>
          <w:color w:val="000000"/>
        </w:rPr>
        <w:t xml:space="preserve">The horizontal cultural dimension in Figure 2 above focuses on the competing values that define the internal and external interests of the organisation. Internal focus gives attention to aspects that impress customers and surpass competitors. However, the external focus gives more attention to regulating the external environment comprising various stakeholders. The vertical cultural dimension represents the stability versus flexibility competing values (Miranda et al., 1998). Stability occurs when a business registers high levels of reliability and efficiency. However, flexibility occurs when an organisation needs to implement change. The clan, adhocracy, hierarchy, and market represent important hierarchies that help in understanding the organisational culture (Wicks &amp; St. Clair, 2007). Hierarchy represents the traditional approach in which leaders of the organisation promote bureaucracy by being the sole decision-makers. Hierarchies create platforms for topmost leaders who exercise their authority by influencing the main decisions of the organisation. The market represents a platform in which the focus is on various internal and external transactions based on market dynamics. The clan represents an organisation with limited structure and control that </w:t>
      </w:r>
      <w:r>
        <w:rPr>
          <w:rFonts w:ascii="Arial" w:hAnsi="Arial" w:cs="Arial"/>
          <w:color w:val="000000"/>
        </w:rPr>
        <w:lastRenderedPageBreak/>
        <w:t>allows employees to exhibit a significant level of flexibility. The clan emphasises the need for organisations to promote employee autonomy. Adhocracy denotes an organisation that allows for more independence and flexibility (Schneider &amp; Barbera, 2014). Adhocracy promotes the level of flexibility needed for implementing changes in the rapidly changing business environment. </w:t>
      </w:r>
    </w:p>
    <w:p w14:paraId="7A923714" w14:textId="77777777" w:rsidR="002859C9" w:rsidRDefault="002859C9" w:rsidP="002859C9">
      <w:pPr>
        <w:pStyle w:val="Heading2"/>
        <w:spacing w:before="200" w:line="480" w:lineRule="auto"/>
      </w:pPr>
      <w:r>
        <w:rPr>
          <w:rFonts w:ascii="Arial" w:hAnsi="Arial" w:cs="Arial"/>
          <w:color w:val="000000"/>
          <w:sz w:val="40"/>
          <w:szCs w:val="40"/>
        </w:rPr>
        <w:t>Discussion</w:t>
      </w:r>
    </w:p>
    <w:p w14:paraId="5657ED5B" w14:textId="77777777" w:rsidR="002859C9" w:rsidRDefault="002859C9" w:rsidP="002859C9">
      <w:pPr>
        <w:pStyle w:val="NormalWeb"/>
        <w:spacing w:before="0" w:beforeAutospacing="0" w:after="200" w:afterAutospacing="0" w:line="480" w:lineRule="auto"/>
        <w:ind w:firstLine="720"/>
      </w:pPr>
      <w:r>
        <w:rPr>
          <w:rFonts w:ascii="Arial" w:hAnsi="Arial" w:cs="Arial"/>
          <w:color w:val="000000"/>
        </w:rPr>
        <w:t>In the intensive care unit, culture assessment is of critical importance. In the current ICU, the dominant organisational characteristics are highly controlled and structured. There is limited space for health care providers to exhibit any form of independence or autonomy. The health care providers working in the unit must conform to the existing regulations and structures (Parkin, 2009). The leadership style observed in the intensive care unit is efficiency oriented with a specific focus on the need to meet patient needs. </w:t>
      </w:r>
    </w:p>
    <w:p w14:paraId="063995E7" w14:textId="77777777" w:rsidR="002859C9" w:rsidRDefault="002859C9" w:rsidP="002859C9">
      <w:pPr>
        <w:pStyle w:val="NormalWeb"/>
        <w:spacing w:before="0" w:beforeAutospacing="0" w:after="200" w:afterAutospacing="0" w:line="480" w:lineRule="auto"/>
        <w:ind w:firstLine="720"/>
      </w:pPr>
      <w:r>
        <w:rPr>
          <w:rFonts w:ascii="Arial" w:hAnsi="Arial" w:cs="Arial"/>
          <w:color w:val="000000"/>
        </w:rPr>
        <w:t>The management of employees seeks to promote conformity to existing rules and standards. There is a high level of predictability because all the health care providers must follow the standard procedures established for the intensive care unit. The managers promote the security of employees and that of the organisation using various measures (Burns et al., 2012). The organisational glue holding health care providers together is the existence of formal rules and policies. The formal rules and policies only attract resistance from the employees without exhibiting any attachment or trust. The strategic emphasis in the intensive care unit is to promote permanence and stability (Tregunno et al., 2004). The intensive care unit does not leave any room for flexibility. The criteria for success in the unit are the level of effectiveness, the low cost of services, and the dependability of the health care providers. </w:t>
      </w:r>
    </w:p>
    <w:p w14:paraId="6A386A39" w14:textId="77777777" w:rsidR="002859C9" w:rsidRDefault="002859C9" w:rsidP="002859C9">
      <w:pPr>
        <w:pStyle w:val="NormalWeb"/>
        <w:spacing w:before="0" w:beforeAutospacing="0" w:after="200" w:afterAutospacing="0" w:line="480" w:lineRule="auto"/>
        <w:ind w:firstLine="720"/>
      </w:pPr>
      <w:r>
        <w:rPr>
          <w:rFonts w:ascii="Arial" w:hAnsi="Arial" w:cs="Arial"/>
          <w:color w:val="000000"/>
        </w:rPr>
        <w:lastRenderedPageBreak/>
        <w:t>A top-down decision-making process exists in the intensive care unit. The nurses regard the physicians and the managers highly because of their power and position. There are existing stringent rules, processes, procedures, and schedules that govern how healthcare providers operate. The department lacks open communication channels, and the main emphasis is on establishing control (Adams, Dawson, &amp; Foureur, 2017). All the health care providers working in the intensive care unit must understand the standard operating procedures and promote high levels of efficiency. Hierarchies have become common in certain hospital departments where the leaders believe that there is a need for stability. The primary activities in the hierarchical model include measurement of outcomes, process documentation, and short-term information management (Tregunno et al., 2004). Organisations that lie in the hierarchy utilise the old approaches supported by the bureaucratic leadership. The hierarchy does not present a favourable environment for implementing the change or pursuing a new venture. </w:t>
      </w:r>
    </w:p>
    <w:p w14:paraId="11500C77" w14:textId="77777777" w:rsidR="002859C9" w:rsidRDefault="002859C9" w:rsidP="002859C9">
      <w:pPr>
        <w:pStyle w:val="NormalWeb"/>
        <w:spacing w:before="0" w:beforeAutospacing="0" w:after="200" w:afterAutospacing="0" w:line="480" w:lineRule="auto"/>
        <w:ind w:firstLine="720"/>
      </w:pPr>
      <w:r>
        <w:rPr>
          <w:rFonts w:ascii="Arial" w:hAnsi="Arial" w:cs="Arial"/>
          <w:color w:val="000000"/>
        </w:rPr>
        <w:t xml:space="preserve">Based on the analysis above, it is evident that the intensive care unit is a hierarchy that focuses on establishing a desirable structure and control. Introducing change in the intensive care unit faces numerous barriers. The rigid structure and excessive levels of control make it difficult for people working in this unit to embrace change (White &amp; Dudley-Brown, 2012). Any change process must begin with the leaders of the department. Since the employees do not have a say in the hierarchy, implementing change may be impossible because of the lack of participation from other employees. It is extremely difficult to surpass the stringent rules and regulations governing operations in the intensive care unit with the core objective of introducing change. Organisational structure is one of the main barriers that affect the implementation of change (Mannion, Davies, Marshall, &amp; Dawsonera, 2005). In the hierarchy, the well-established structure that presents a high level of stability does not </w:t>
      </w:r>
      <w:r>
        <w:rPr>
          <w:rFonts w:ascii="Arial" w:hAnsi="Arial" w:cs="Arial"/>
          <w:color w:val="000000"/>
        </w:rPr>
        <w:lastRenderedPageBreak/>
        <w:t>create a favourable environment for change. Only top managers in the intensive care unit can introduce changes to the existing structure. It is apparent that the hierarchical culture makes it difficult for the unit to respond effectively to changes in the business environment. </w:t>
      </w:r>
    </w:p>
    <w:p w14:paraId="46FAD918" w14:textId="77777777" w:rsidR="002859C9" w:rsidRDefault="002859C9" w:rsidP="002859C9">
      <w:pPr>
        <w:pStyle w:val="NormalWeb"/>
        <w:spacing w:before="0" w:beforeAutospacing="0" w:after="200" w:afterAutospacing="0" w:line="480" w:lineRule="auto"/>
        <w:ind w:firstLine="720"/>
      </w:pPr>
      <w:r>
        <w:rPr>
          <w:rFonts w:ascii="Arial" w:hAnsi="Arial" w:cs="Arial"/>
          <w:color w:val="000000"/>
        </w:rPr>
        <w:t>An organisation that gives little attention to the needs of employees is less likely to succeed in the implementation of change. For this reason, the intensive care unit lacks the flexibility required for the implementation of change with the core objective of increasing patient outcomes. The hierarchy denotes an internal process model whose focus is the management of information, communication channels and exhibiting stability and control (Burns et al., 2012). Unfortunately, the unit lacks any openness to change because the managers cannot tolerate any compromise to the standard operating procedures. There is evidence that mobilising the employees to support change will be extremely difficult because of the excessive control. It is necessary for the intensive care unit to embrace certain measures with the core objective of increasing the level of flexibility (White &amp; Dudley-Brown, 2012). As indicated above, the competing values framework is of great relevance in determining the culture in the intensive care unit. The model helps in creating a framework that is useful in analysing different aspects of culture at the workplace (Scott, 2009). For this reason, the model is applicable in different scenarios and enables scholars to explore different aspects of organisational culture. </w:t>
      </w:r>
    </w:p>
    <w:p w14:paraId="20673979" w14:textId="77777777" w:rsidR="002859C9" w:rsidRDefault="002859C9" w:rsidP="002859C9">
      <w:pPr>
        <w:pStyle w:val="Heading2"/>
        <w:spacing w:before="200" w:line="480" w:lineRule="auto"/>
      </w:pPr>
      <w:r>
        <w:rPr>
          <w:rFonts w:ascii="Arial" w:hAnsi="Arial" w:cs="Arial"/>
          <w:color w:val="000000"/>
          <w:sz w:val="40"/>
          <w:szCs w:val="40"/>
        </w:rPr>
        <w:t>Summary</w:t>
      </w:r>
    </w:p>
    <w:p w14:paraId="3314A2EF" w14:textId="77777777" w:rsidR="002859C9" w:rsidRDefault="002859C9" w:rsidP="002859C9">
      <w:pPr>
        <w:pStyle w:val="NormalWeb"/>
        <w:spacing w:before="0" w:beforeAutospacing="0" w:after="200" w:afterAutospacing="0" w:line="480" w:lineRule="auto"/>
        <w:ind w:firstLine="720"/>
      </w:pPr>
      <w:r>
        <w:rPr>
          <w:rFonts w:ascii="Arial" w:hAnsi="Arial" w:cs="Arial"/>
          <w:color w:val="000000"/>
        </w:rPr>
        <w:t xml:space="preserve">The intensive care unit presents one of the most difficult units for which a nurse can work. All the health care providers working in the intensive care unit recognise the impossibility of implementing change effectively. For the unit to successfully implement change, it will need to embrace a measure of flexibility and establish more appropriate </w:t>
      </w:r>
      <w:r>
        <w:rPr>
          <w:rFonts w:ascii="Arial" w:hAnsi="Arial" w:cs="Arial"/>
          <w:color w:val="000000"/>
        </w:rPr>
        <w:lastRenderedPageBreak/>
        <w:t>leadership styles (Mannion, Davies, Marshall, &amp; Dawsonera, 2005). The current use of coordinating and organising leadership styles does not present a remarkable environment for the implementation of change. Many scholars have argued that the intensive care unit promotes the bureaucratic approach that presents numerous challenges when there is a need for change. The hierarchy organisation discourages employees from taking up new responsibilities. The standard operating procedures become the rules governing the unit and every individual working in the unit must have high levels of conformity to the existing rules (Burns et al., 2012). The lack of a favourable environment for the implementation of change explains why the intensive care unit has lagged behind in implementing evidence-based practices.</w:t>
      </w:r>
    </w:p>
    <w:p w14:paraId="39BB8BB5" w14:textId="77777777" w:rsidR="002859C9" w:rsidRDefault="002859C9" w:rsidP="002859C9">
      <w:pPr>
        <w:pStyle w:val="Heading2"/>
        <w:spacing w:before="200" w:line="480" w:lineRule="auto"/>
      </w:pPr>
      <w:r>
        <w:rPr>
          <w:rFonts w:ascii="Arial" w:hAnsi="Arial" w:cs="Arial"/>
          <w:color w:val="000000"/>
          <w:sz w:val="40"/>
          <w:szCs w:val="40"/>
        </w:rPr>
        <w:t>Conclusion </w:t>
      </w:r>
    </w:p>
    <w:p w14:paraId="6AEB7345" w14:textId="77777777" w:rsidR="002859C9" w:rsidRDefault="002859C9" w:rsidP="002859C9">
      <w:pPr>
        <w:pStyle w:val="NormalWeb"/>
        <w:spacing w:before="0" w:beforeAutospacing="0" w:after="200" w:afterAutospacing="0" w:line="480" w:lineRule="auto"/>
        <w:ind w:firstLine="720"/>
      </w:pPr>
      <w:r>
        <w:rPr>
          <w:rFonts w:ascii="Arial" w:hAnsi="Arial" w:cs="Arial"/>
          <w:color w:val="000000"/>
        </w:rPr>
        <w:t xml:space="preserve">As highlighted above, the competing values framework represents an important tool in the assessment of organisational culture in a department of the healthcare facility. Healthcare organisations have embraced the need to understand the dominating culture so that they can make significant improvements in delivering quality care (Burns et al., 2012). It is important to understand the competing values in the framework and their associated meaning. Based on the analysis carried out, it is explicit that the intensive care unit is not open for change. The lack of openness to change makes it difficult to improve practices in the unit and deliver quality care (Tregunno et al., 2004). The rigidity of the unit due to its structure and control is only open for suggestions from senior members. The managers and supervisors determine the level of conformity to the existing standard operating procedures (Mannion, Davies, Marshall, &amp; Dawsonera, 2005). Undoubtedly, the intensive care unit needs to introduce a more favourable culture that will support openness to change. With the current culture, it may be impossible to save lives because some health care providers are afraid of the nursing </w:t>
      </w:r>
      <w:r>
        <w:rPr>
          <w:rFonts w:ascii="Arial" w:hAnsi="Arial" w:cs="Arial"/>
          <w:color w:val="000000"/>
        </w:rPr>
        <w:lastRenderedPageBreak/>
        <w:t>supervisors and managers. The competing values framework is highly relevant in assessing culture in healthcare organisations. </w:t>
      </w:r>
    </w:p>
    <w:p w14:paraId="65B21A12" w14:textId="77777777" w:rsidR="002859C9" w:rsidRDefault="002859C9" w:rsidP="002859C9">
      <w:pPr>
        <w:pStyle w:val="NormalWeb"/>
        <w:spacing w:before="0" w:beforeAutospacing="0" w:after="200" w:afterAutospacing="0" w:line="480" w:lineRule="auto"/>
        <w:ind w:firstLine="720"/>
      </w:pPr>
      <w:r>
        <w:rPr>
          <w:rFonts w:ascii="Arial" w:hAnsi="Arial" w:cs="Arial"/>
          <w:b/>
          <w:bCs/>
          <w:color w:val="000000"/>
          <w:sz w:val="40"/>
          <w:szCs w:val="40"/>
        </w:rPr>
        <w:t>References</w:t>
      </w:r>
    </w:p>
    <w:p w14:paraId="7C9F160D" w14:textId="77777777" w:rsidR="002859C9" w:rsidRDefault="002859C9" w:rsidP="002859C9">
      <w:pPr>
        <w:pStyle w:val="NormalWeb"/>
        <w:spacing w:before="0" w:beforeAutospacing="0" w:after="200" w:afterAutospacing="0" w:line="480" w:lineRule="auto"/>
        <w:ind w:left="142" w:firstLine="705"/>
      </w:pPr>
      <w:r>
        <w:rPr>
          <w:rFonts w:ascii="Arial" w:hAnsi="Arial" w:cs="Arial"/>
          <w:color w:val="000000"/>
        </w:rPr>
        <w:t xml:space="preserve">Kilpatrick, K., Lavoie-Tremblay, M., Ritchie, J., &amp; Lamothe, L. (2011). Advanced Practice Nursing, Health Care Teams, and Perceptions of Team Effectiveness. </w:t>
      </w:r>
      <w:r>
        <w:rPr>
          <w:rFonts w:ascii="Arial" w:hAnsi="Arial" w:cs="Arial"/>
          <w:i/>
          <w:iCs/>
          <w:color w:val="000000"/>
        </w:rPr>
        <w:t>The Health Care Manager</w:t>
      </w:r>
      <w:r>
        <w:rPr>
          <w:rFonts w:ascii="Arial" w:hAnsi="Arial" w:cs="Arial"/>
          <w:color w:val="000000"/>
        </w:rPr>
        <w:t>, 30(3), pp. 215-226. </w:t>
      </w:r>
    </w:p>
    <w:p w14:paraId="7E1DF80A" w14:textId="77777777" w:rsidR="002859C9" w:rsidRDefault="002859C9" w:rsidP="002859C9">
      <w:pPr>
        <w:pStyle w:val="NormalWeb"/>
        <w:spacing w:before="0" w:beforeAutospacing="0" w:after="200" w:afterAutospacing="0" w:line="480" w:lineRule="auto"/>
        <w:ind w:left="142" w:firstLine="705"/>
      </w:pPr>
      <w:r>
        <w:rPr>
          <w:rFonts w:ascii="Arial" w:hAnsi="Arial" w:cs="Arial"/>
          <w:color w:val="000000"/>
        </w:rPr>
        <w:t xml:space="preserve">Proenca, E. (2007). Team dynamics and team empowerment in health care organizations. </w:t>
      </w:r>
      <w:r>
        <w:rPr>
          <w:rFonts w:ascii="Arial" w:hAnsi="Arial" w:cs="Arial"/>
          <w:i/>
          <w:iCs/>
          <w:color w:val="000000"/>
        </w:rPr>
        <w:t>Health Care Management Review</w:t>
      </w:r>
      <w:r>
        <w:rPr>
          <w:rFonts w:ascii="Arial" w:hAnsi="Arial" w:cs="Arial"/>
          <w:color w:val="000000"/>
        </w:rPr>
        <w:t>, 32(4), pp. 370-378.</w:t>
      </w:r>
    </w:p>
    <w:p w14:paraId="5EC199A2" w14:textId="77777777" w:rsidR="002859C9" w:rsidRDefault="002859C9" w:rsidP="002859C9">
      <w:pPr>
        <w:pStyle w:val="NormalWeb"/>
        <w:spacing w:before="0" w:beforeAutospacing="0" w:after="200" w:afterAutospacing="0" w:line="480" w:lineRule="auto"/>
        <w:ind w:left="142" w:firstLine="705"/>
      </w:pPr>
      <w:r>
        <w:rPr>
          <w:rFonts w:ascii="Arial" w:hAnsi="Arial" w:cs="Arial"/>
          <w:color w:val="000000"/>
        </w:rPr>
        <w:t>Lencioni, P. (2012). </w:t>
      </w:r>
      <w:r>
        <w:rPr>
          <w:rFonts w:ascii="Arial" w:hAnsi="Arial" w:cs="Arial"/>
          <w:i/>
          <w:iCs/>
          <w:color w:val="000000"/>
        </w:rPr>
        <w:t>The five dysfunctions of a team: Facilitator's guide : the official guide to conducting the five dysfunctions workshops for teams and team leaders</w:t>
      </w:r>
      <w:r>
        <w:rPr>
          <w:rFonts w:ascii="Arial" w:hAnsi="Arial" w:cs="Arial"/>
          <w:color w:val="000000"/>
        </w:rPr>
        <w:t>. San Francisco, Calif: Chichester.</w:t>
      </w:r>
    </w:p>
    <w:p w14:paraId="442FBB63" w14:textId="77777777" w:rsidR="002859C9" w:rsidRDefault="002859C9" w:rsidP="002859C9">
      <w:pPr>
        <w:pStyle w:val="NormalWeb"/>
        <w:spacing w:before="0" w:beforeAutospacing="0" w:after="200" w:afterAutospacing="0" w:line="480" w:lineRule="auto"/>
        <w:ind w:left="142" w:firstLine="705"/>
      </w:pPr>
      <w:r>
        <w:rPr>
          <w:rFonts w:ascii="Arial" w:hAnsi="Arial" w:cs="Arial"/>
          <w:color w:val="000000"/>
        </w:rPr>
        <w:t>Rubin, I. M., Plovnick, M. S., &amp; Fry, R. E. (2008). </w:t>
      </w:r>
      <w:r>
        <w:rPr>
          <w:rFonts w:ascii="Arial" w:hAnsi="Arial" w:cs="Arial"/>
          <w:i/>
          <w:iCs/>
          <w:color w:val="000000"/>
        </w:rPr>
        <w:t>Managing human resources in health care organizations: An applied approach</w:t>
      </w:r>
      <w:r>
        <w:rPr>
          <w:rFonts w:ascii="Arial" w:hAnsi="Arial" w:cs="Arial"/>
          <w:color w:val="000000"/>
        </w:rPr>
        <w:t>. Reston, Va: Reston.</w:t>
      </w:r>
    </w:p>
    <w:p w14:paraId="76348F24" w14:textId="77777777" w:rsidR="002859C9" w:rsidRDefault="002859C9" w:rsidP="002859C9">
      <w:pPr>
        <w:pStyle w:val="NormalWeb"/>
        <w:spacing w:before="0" w:beforeAutospacing="0" w:after="200" w:afterAutospacing="0" w:line="480" w:lineRule="auto"/>
        <w:ind w:left="142" w:firstLine="705"/>
      </w:pPr>
      <w:r>
        <w:rPr>
          <w:rFonts w:ascii="Arial" w:hAnsi="Arial" w:cs="Arial"/>
          <w:color w:val="000000"/>
        </w:rPr>
        <w:t>Katzenbach, J. R., &amp; Smith, D. K. (2015). </w:t>
      </w:r>
      <w:r>
        <w:rPr>
          <w:rFonts w:ascii="Arial" w:hAnsi="Arial" w:cs="Arial"/>
          <w:i/>
          <w:iCs/>
          <w:color w:val="000000"/>
        </w:rPr>
        <w:t>The wisdom of teams: Creating the high-performance organization</w:t>
      </w:r>
      <w:r>
        <w:rPr>
          <w:rFonts w:ascii="Arial" w:hAnsi="Arial" w:cs="Arial"/>
          <w:color w:val="000000"/>
        </w:rPr>
        <w:t>. Boston, Massachusetts : Harvard Business Review Press.</w:t>
      </w:r>
    </w:p>
    <w:p w14:paraId="59645189" w14:textId="77777777" w:rsidR="002859C9" w:rsidRDefault="002859C9" w:rsidP="002859C9">
      <w:pPr>
        <w:pStyle w:val="NormalWeb"/>
        <w:spacing w:before="0" w:beforeAutospacing="0" w:after="200" w:afterAutospacing="0" w:line="480" w:lineRule="auto"/>
        <w:ind w:left="142" w:firstLine="705"/>
      </w:pPr>
      <w:r>
        <w:rPr>
          <w:rFonts w:ascii="Arial" w:hAnsi="Arial" w:cs="Arial"/>
          <w:color w:val="000000"/>
        </w:rPr>
        <w:t>Heinemann, G. D., &amp; Zeiss, A. M. (2002). </w:t>
      </w:r>
      <w:r>
        <w:rPr>
          <w:rFonts w:ascii="Arial" w:hAnsi="Arial" w:cs="Arial"/>
          <w:i/>
          <w:iCs/>
          <w:color w:val="000000"/>
        </w:rPr>
        <w:t>Team performance in health care: Assessment and development</w:t>
      </w:r>
      <w:r>
        <w:rPr>
          <w:rFonts w:ascii="Arial" w:hAnsi="Arial" w:cs="Arial"/>
          <w:color w:val="000000"/>
        </w:rPr>
        <w:t>. New York : Kluwer Academic/Plenum Publishers.</w:t>
      </w:r>
    </w:p>
    <w:p w14:paraId="7898DF8A" w14:textId="77777777" w:rsidR="002859C9" w:rsidRDefault="002859C9" w:rsidP="002859C9">
      <w:pPr>
        <w:pStyle w:val="NormalWeb"/>
        <w:spacing w:before="0" w:beforeAutospacing="0" w:after="200" w:afterAutospacing="0" w:line="480" w:lineRule="auto"/>
        <w:ind w:left="142" w:firstLine="705"/>
      </w:pPr>
      <w:r>
        <w:rPr>
          <w:rFonts w:ascii="Arial" w:hAnsi="Arial" w:cs="Arial"/>
          <w:color w:val="000000"/>
        </w:rPr>
        <w:t>Bendaly, L., &amp; Bendaly, N. (2012). </w:t>
      </w:r>
      <w:r>
        <w:rPr>
          <w:rFonts w:ascii="Arial" w:hAnsi="Arial" w:cs="Arial"/>
          <w:i/>
          <w:iCs/>
          <w:color w:val="000000"/>
        </w:rPr>
        <w:t>Improving healthcare team performance: The 7 requirements for excellence in patient care</w:t>
      </w:r>
      <w:r>
        <w:rPr>
          <w:rFonts w:ascii="Arial" w:hAnsi="Arial" w:cs="Arial"/>
          <w:color w:val="000000"/>
        </w:rPr>
        <w:t>. Toronto: John Wiley &amp; Sons Canada.</w:t>
      </w:r>
    </w:p>
    <w:p w14:paraId="1BC4AB1E" w14:textId="77777777" w:rsidR="002859C9" w:rsidRDefault="002859C9" w:rsidP="002859C9">
      <w:pPr>
        <w:pStyle w:val="NormalWeb"/>
        <w:spacing w:before="0" w:beforeAutospacing="0" w:after="200" w:afterAutospacing="0" w:line="480" w:lineRule="auto"/>
        <w:ind w:left="142" w:firstLine="705"/>
      </w:pPr>
      <w:r>
        <w:rPr>
          <w:rFonts w:ascii="Arial" w:hAnsi="Arial" w:cs="Arial"/>
          <w:color w:val="000000"/>
        </w:rPr>
        <w:lastRenderedPageBreak/>
        <w:t>Salas, E. (2013). </w:t>
      </w:r>
      <w:r>
        <w:rPr>
          <w:rFonts w:ascii="Arial" w:hAnsi="Arial" w:cs="Arial"/>
          <w:i/>
          <w:iCs/>
          <w:color w:val="000000"/>
        </w:rPr>
        <w:t>Developing and enhancing teamwork in organizations: Evidence-based best practices and guidelines</w:t>
      </w:r>
      <w:r>
        <w:rPr>
          <w:rFonts w:ascii="Arial" w:hAnsi="Arial" w:cs="Arial"/>
          <w:color w:val="000000"/>
        </w:rPr>
        <w:t>. an Francisco : Jossey-Bass, A Wiley Brand.</w:t>
      </w:r>
    </w:p>
    <w:p w14:paraId="62E56CA5" w14:textId="77777777" w:rsidR="002859C9" w:rsidRDefault="002859C9" w:rsidP="002859C9">
      <w:pPr>
        <w:pStyle w:val="NormalWeb"/>
        <w:spacing w:before="0" w:beforeAutospacing="0" w:after="200" w:afterAutospacing="0" w:line="480" w:lineRule="auto"/>
        <w:ind w:left="142" w:firstLine="705"/>
      </w:pPr>
      <w:r>
        <w:rPr>
          <w:rFonts w:ascii="Arial" w:hAnsi="Arial" w:cs="Arial"/>
          <w:color w:val="000000"/>
        </w:rPr>
        <w:t xml:space="preserve">Tartell, R. (2016). Understand Teams by Using the GRPI Model. </w:t>
      </w:r>
      <w:r>
        <w:rPr>
          <w:rFonts w:ascii="Arial" w:hAnsi="Arial" w:cs="Arial"/>
          <w:i/>
          <w:iCs/>
          <w:color w:val="000000"/>
        </w:rPr>
        <w:t>Training</w:t>
      </w:r>
      <w:r>
        <w:rPr>
          <w:rFonts w:ascii="Arial" w:hAnsi="Arial" w:cs="Arial"/>
          <w:color w:val="000000"/>
        </w:rPr>
        <w:t>, 53(1), 22.</w:t>
      </w:r>
    </w:p>
    <w:p w14:paraId="1685F27A" w14:textId="77777777" w:rsidR="002859C9" w:rsidRDefault="002859C9" w:rsidP="002859C9"/>
    <w:p w14:paraId="2BB3E174" w14:textId="77777777" w:rsidR="002859C9" w:rsidRDefault="002859C9" w:rsidP="002859C9">
      <w:pPr>
        <w:pStyle w:val="NormalWeb"/>
        <w:spacing w:before="0" w:beforeAutospacing="0" w:after="200" w:afterAutospacing="0" w:line="480" w:lineRule="auto"/>
        <w:ind w:left="142" w:firstLine="705"/>
      </w:pPr>
      <w:r>
        <w:rPr>
          <w:rFonts w:ascii="Arial" w:hAnsi="Arial" w:cs="Arial"/>
          <w:color w:val="000000"/>
        </w:rPr>
        <w:t xml:space="preserve">Tregunno, D., Ross Baker, G., Barnsley, J., &amp; Murray, M. (2004). Competing Values of Emergency Department Performance: Balancing Multiple Stakeholder Perspectives. </w:t>
      </w:r>
      <w:r>
        <w:rPr>
          <w:rFonts w:ascii="Arial" w:hAnsi="Arial" w:cs="Arial"/>
          <w:i/>
          <w:iCs/>
          <w:color w:val="000000"/>
        </w:rPr>
        <w:t>Health Services Research</w:t>
      </w:r>
      <w:r>
        <w:rPr>
          <w:rFonts w:ascii="Arial" w:hAnsi="Arial" w:cs="Arial"/>
          <w:color w:val="000000"/>
        </w:rPr>
        <w:t>, 39(4p1), pp. 771-792.</w:t>
      </w:r>
    </w:p>
    <w:p w14:paraId="2EDCDC49" w14:textId="77777777" w:rsidR="002859C9" w:rsidRDefault="002859C9" w:rsidP="002859C9">
      <w:pPr>
        <w:pStyle w:val="NormalWeb"/>
        <w:spacing w:before="0" w:beforeAutospacing="0" w:after="200" w:afterAutospacing="0" w:line="480" w:lineRule="auto"/>
        <w:ind w:left="142" w:firstLine="705"/>
      </w:pPr>
      <w:r>
        <w:rPr>
          <w:rFonts w:ascii="Arial" w:hAnsi="Arial" w:cs="Arial"/>
          <w:color w:val="000000"/>
        </w:rPr>
        <w:t xml:space="preserve">Adams, C., Dawson, A., &amp; Foureur, M. (2017). Competing Values Framework: A useful tool to define the predominant culture in a maternity setting in Australia. </w:t>
      </w:r>
      <w:r>
        <w:rPr>
          <w:rFonts w:ascii="Arial" w:hAnsi="Arial" w:cs="Arial"/>
          <w:i/>
          <w:iCs/>
          <w:color w:val="000000"/>
        </w:rPr>
        <w:t>Women And Birth</w:t>
      </w:r>
      <w:r>
        <w:rPr>
          <w:rFonts w:ascii="Arial" w:hAnsi="Arial" w:cs="Arial"/>
          <w:color w:val="000000"/>
        </w:rPr>
        <w:t>, 30(2), pp.107-113.</w:t>
      </w:r>
    </w:p>
    <w:p w14:paraId="69FB9863" w14:textId="77777777" w:rsidR="002859C9" w:rsidRDefault="002859C9" w:rsidP="002859C9">
      <w:pPr>
        <w:pStyle w:val="NormalWeb"/>
        <w:spacing w:before="0" w:beforeAutospacing="0" w:after="200" w:afterAutospacing="0" w:line="480" w:lineRule="auto"/>
        <w:ind w:left="142" w:firstLine="705"/>
      </w:pPr>
      <w:r>
        <w:rPr>
          <w:rFonts w:ascii="Arial" w:hAnsi="Arial" w:cs="Arial"/>
          <w:color w:val="000000"/>
        </w:rPr>
        <w:t>Mannion, R., Davies, H. T. O., Marshall, M., &amp; Dawsonera. (2005). </w:t>
      </w:r>
      <w:r>
        <w:rPr>
          <w:rFonts w:ascii="Arial" w:hAnsi="Arial" w:cs="Arial"/>
          <w:i/>
          <w:iCs/>
          <w:color w:val="000000"/>
        </w:rPr>
        <w:t>Cultures for performance in health care</w:t>
      </w:r>
      <w:r>
        <w:rPr>
          <w:rFonts w:ascii="Arial" w:hAnsi="Arial" w:cs="Arial"/>
          <w:color w:val="000000"/>
        </w:rPr>
        <w:t>. Maidenhead: Open University Press.</w:t>
      </w:r>
    </w:p>
    <w:p w14:paraId="7411ECD2" w14:textId="77777777" w:rsidR="002859C9" w:rsidRDefault="002859C9" w:rsidP="002859C9">
      <w:pPr>
        <w:pStyle w:val="NormalWeb"/>
        <w:spacing w:before="0" w:beforeAutospacing="0" w:after="200" w:afterAutospacing="0" w:line="480" w:lineRule="auto"/>
        <w:ind w:left="142" w:firstLine="705"/>
      </w:pPr>
      <w:r>
        <w:rPr>
          <w:rFonts w:ascii="Arial" w:hAnsi="Arial" w:cs="Arial"/>
          <w:color w:val="000000"/>
        </w:rPr>
        <w:t>Scott, T. (2009). </w:t>
      </w:r>
      <w:r>
        <w:rPr>
          <w:rFonts w:ascii="Arial" w:hAnsi="Arial" w:cs="Arial"/>
          <w:i/>
          <w:iCs/>
          <w:color w:val="000000"/>
        </w:rPr>
        <w:t>Healthcare performance and organisational culture</w:t>
      </w:r>
      <w:r>
        <w:rPr>
          <w:rFonts w:ascii="Arial" w:hAnsi="Arial" w:cs="Arial"/>
          <w:color w:val="000000"/>
        </w:rPr>
        <w:t>. Abingdon (Oxon, U.K.: Radcliffe Medical Press.</w:t>
      </w:r>
    </w:p>
    <w:p w14:paraId="6EB732D7" w14:textId="77777777" w:rsidR="002859C9" w:rsidRDefault="002859C9" w:rsidP="002859C9">
      <w:pPr>
        <w:pStyle w:val="NormalWeb"/>
        <w:spacing w:before="0" w:beforeAutospacing="0" w:after="200" w:afterAutospacing="0" w:line="480" w:lineRule="auto"/>
        <w:ind w:left="142" w:firstLine="705"/>
      </w:pPr>
      <w:r>
        <w:rPr>
          <w:rFonts w:ascii="Arial" w:hAnsi="Arial" w:cs="Arial"/>
          <w:color w:val="000000"/>
        </w:rPr>
        <w:t>White, K. M., &amp; Dudley-Brown, S. (2012). </w:t>
      </w:r>
      <w:r>
        <w:rPr>
          <w:rFonts w:ascii="Arial" w:hAnsi="Arial" w:cs="Arial"/>
          <w:i/>
          <w:iCs/>
          <w:color w:val="000000"/>
        </w:rPr>
        <w:t>Translation of evidence into nursing and health care practice</w:t>
      </w:r>
      <w:r>
        <w:rPr>
          <w:rFonts w:ascii="Arial" w:hAnsi="Arial" w:cs="Arial"/>
          <w:color w:val="000000"/>
        </w:rPr>
        <w:t>. New York: Springer Pub. Co.</w:t>
      </w:r>
    </w:p>
    <w:p w14:paraId="05265A5F" w14:textId="77777777" w:rsidR="002859C9" w:rsidRDefault="002859C9" w:rsidP="002859C9">
      <w:pPr>
        <w:pStyle w:val="NormalWeb"/>
        <w:spacing w:before="0" w:beforeAutospacing="0" w:after="200" w:afterAutospacing="0" w:line="480" w:lineRule="auto"/>
        <w:ind w:left="142" w:firstLine="705"/>
      </w:pPr>
      <w:r>
        <w:rPr>
          <w:rFonts w:ascii="Arial" w:hAnsi="Arial" w:cs="Arial"/>
          <w:color w:val="000000"/>
        </w:rPr>
        <w:t>Braithwaite, J., Hyde, P., Pope, C., &amp; Palgrave Connect (Online service). (2010).</w:t>
      </w:r>
      <w:r>
        <w:rPr>
          <w:rFonts w:ascii="Arial" w:hAnsi="Arial" w:cs="Arial"/>
          <w:i/>
          <w:iCs/>
          <w:color w:val="000000"/>
        </w:rPr>
        <w:t>Culture and climate in health care organizations</w:t>
      </w:r>
      <w:r>
        <w:rPr>
          <w:rFonts w:ascii="Arial" w:hAnsi="Arial" w:cs="Arial"/>
          <w:color w:val="000000"/>
        </w:rPr>
        <w:t>. Basingstoke: Palgrave Macmillan.</w:t>
      </w:r>
    </w:p>
    <w:p w14:paraId="2B659028" w14:textId="77777777" w:rsidR="002859C9" w:rsidRDefault="002859C9" w:rsidP="002859C9">
      <w:pPr>
        <w:pStyle w:val="NormalWeb"/>
        <w:spacing w:before="0" w:beforeAutospacing="0" w:after="200" w:afterAutospacing="0" w:line="480" w:lineRule="auto"/>
        <w:ind w:left="142" w:firstLine="705"/>
      </w:pPr>
      <w:r>
        <w:rPr>
          <w:rFonts w:ascii="Arial" w:hAnsi="Arial" w:cs="Arial"/>
          <w:color w:val="000000"/>
        </w:rPr>
        <w:t>Miranda, D. R., Ryan, D. W., Schaufeli, W. B., &amp; Fidler, V. (1998). </w:t>
      </w:r>
      <w:r>
        <w:rPr>
          <w:rFonts w:ascii="Arial" w:hAnsi="Arial" w:cs="Arial"/>
          <w:i/>
          <w:iCs/>
          <w:color w:val="000000"/>
        </w:rPr>
        <w:t>Organisation and Management of Intensive Care: A Prospective Study in 12 European Countries</w:t>
      </w:r>
      <w:r>
        <w:rPr>
          <w:rFonts w:ascii="Arial" w:hAnsi="Arial" w:cs="Arial"/>
          <w:color w:val="000000"/>
        </w:rPr>
        <w:t>. Berlin, Heidelberg: Springer Berlin Heidelberg.</w:t>
      </w:r>
    </w:p>
    <w:p w14:paraId="7258175C" w14:textId="77777777" w:rsidR="002859C9" w:rsidRDefault="002859C9" w:rsidP="002859C9">
      <w:pPr>
        <w:pStyle w:val="NormalWeb"/>
        <w:spacing w:before="0" w:beforeAutospacing="0" w:after="200" w:afterAutospacing="0" w:line="480" w:lineRule="auto"/>
        <w:ind w:left="142" w:firstLine="705"/>
      </w:pPr>
      <w:r>
        <w:rPr>
          <w:rFonts w:ascii="Arial" w:hAnsi="Arial" w:cs="Arial"/>
          <w:color w:val="000000"/>
        </w:rPr>
        <w:lastRenderedPageBreak/>
        <w:t>Wicks, A. M., &amp; St. Clair, L. (2007). Competing Values in Healthcare: Balancing the (Un)Balanced Scorecard. Journal Of Healthcare Management, 52(5), pp. 309.</w:t>
      </w:r>
    </w:p>
    <w:p w14:paraId="3885138B" w14:textId="77777777" w:rsidR="002859C9" w:rsidRDefault="002859C9" w:rsidP="002859C9">
      <w:pPr>
        <w:pStyle w:val="NormalWeb"/>
        <w:spacing w:before="0" w:beforeAutospacing="0" w:after="200" w:afterAutospacing="0" w:line="480" w:lineRule="auto"/>
        <w:ind w:left="142" w:firstLine="705"/>
      </w:pPr>
      <w:r>
        <w:rPr>
          <w:rFonts w:ascii="Arial" w:hAnsi="Arial" w:cs="Arial"/>
          <w:color w:val="000000"/>
        </w:rPr>
        <w:t>Schneider, B., &amp; Barbera, K. M. (2014). </w:t>
      </w:r>
      <w:r>
        <w:rPr>
          <w:rFonts w:ascii="Arial" w:hAnsi="Arial" w:cs="Arial"/>
          <w:i/>
          <w:iCs/>
          <w:color w:val="000000"/>
        </w:rPr>
        <w:t>The Oxford handbook of organizational climate and culture</w:t>
      </w:r>
      <w:r>
        <w:rPr>
          <w:rFonts w:ascii="Arial" w:hAnsi="Arial" w:cs="Arial"/>
          <w:color w:val="000000"/>
        </w:rPr>
        <w:t>. Oxford: Oxford University Press.</w:t>
      </w:r>
    </w:p>
    <w:p w14:paraId="644B7D5B" w14:textId="77777777" w:rsidR="002859C9" w:rsidRDefault="002859C9" w:rsidP="002859C9">
      <w:pPr>
        <w:pStyle w:val="NormalWeb"/>
        <w:spacing w:before="0" w:beforeAutospacing="0" w:after="200" w:afterAutospacing="0" w:line="480" w:lineRule="auto"/>
        <w:ind w:left="142" w:firstLine="705"/>
      </w:pPr>
      <w:r>
        <w:rPr>
          <w:rFonts w:ascii="Arial" w:hAnsi="Arial" w:cs="Arial"/>
          <w:color w:val="000000"/>
        </w:rPr>
        <w:t>Parkin, P. (2009). </w:t>
      </w:r>
      <w:r>
        <w:rPr>
          <w:rFonts w:ascii="Arial" w:hAnsi="Arial" w:cs="Arial"/>
          <w:i/>
          <w:iCs/>
          <w:color w:val="000000"/>
        </w:rPr>
        <w:t>Managing change in healthcare: Using action research</w:t>
      </w:r>
      <w:r>
        <w:rPr>
          <w:rFonts w:ascii="Arial" w:hAnsi="Arial" w:cs="Arial"/>
          <w:color w:val="000000"/>
        </w:rPr>
        <w:t>. Los Angeles: Sage.</w:t>
      </w:r>
    </w:p>
    <w:p w14:paraId="3F14FF4C" w14:textId="77777777" w:rsidR="002859C9" w:rsidRDefault="002859C9" w:rsidP="002859C9">
      <w:pPr>
        <w:pStyle w:val="NormalWeb"/>
        <w:spacing w:before="0" w:beforeAutospacing="0" w:after="200" w:afterAutospacing="0" w:line="480" w:lineRule="auto"/>
        <w:ind w:left="142" w:firstLine="705"/>
      </w:pPr>
      <w:r>
        <w:rPr>
          <w:rFonts w:ascii="Arial" w:hAnsi="Arial" w:cs="Arial"/>
          <w:color w:val="000000"/>
        </w:rPr>
        <w:t>Burns, L. R., Bradley, E. H., Weiner, B. J., &amp; Shortell, S. M. (2012). </w:t>
      </w:r>
      <w:r>
        <w:rPr>
          <w:rFonts w:ascii="Arial" w:hAnsi="Arial" w:cs="Arial"/>
          <w:i/>
          <w:iCs/>
          <w:color w:val="000000"/>
        </w:rPr>
        <w:t>Shortell and Kaluzny's health care management: Organization, design, and behavior</w:t>
      </w:r>
      <w:r>
        <w:rPr>
          <w:rFonts w:ascii="Arial" w:hAnsi="Arial" w:cs="Arial"/>
          <w:color w:val="000000"/>
        </w:rPr>
        <w:t>. Clifton Park, NY: Delmar Cengage Learning.</w:t>
      </w:r>
    </w:p>
    <w:p w14:paraId="121DC309" w14:textId="45614370" w:rsidR="001151D5" w:rsidRPr="002859C9" w:rsidRDefault="001151D5" w:rsidP="002859C9"/>
    <w:sectPr w:rsidR="001151D5" w:rsidRPr="00285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43"/>
    <w:rsid w:val="001151D5"/>
    <w:rsid w:val="002859C9"/>
    <w:rsid w:val="00CF3843"/>
    <w:rsid w:val="00DE65B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1CB9A-6B61-4CA7-8BFF-024560B8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65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859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5B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E6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E65BA"/>
  </w:style>
  <w:style w:type="character" w:customStyle="1" w:styleId="Heading2Char">
    <w:name w:val="Heading 2 Char"/>
    <w:basedOn w:val="DefaultParagraphFont"/>
    <w:link w:val="Heading2"/>
    <w:uiPriority w:val="9"/>
    <w:semiHidden/>
    <w:rsid w:val="002859C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964601">
      <w:bodyDiv w:val="1"/>
      <w:marLeft w:val="0"/>
      <w:marRight w:val="0"/>
      <w:marTop w:val="0"/>
      <w:marBottom w:val="0"/>
      <w:divBdr>
        <w:top w:val="none" w:sz="0" w:space="0" w:color="auto"/>
        <w:left w:val="none" w:sz="0" w:space="0" w:color="auto"/>
        <w:bottom w:val="none" w:sz="0" w:space="0" w:color="auto"/>
        <w:right w:val="none" w:sz="0" w:space="0" w:color="auto"/>
      </w:divBdr>
    </w:div>
    <w:div w:id="156244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4581</Words>
  <Characters>26115</Characters>
  <Application>Microsoft Office Word</Application>
  <DocSecurity>0</DocSecurity>
  <Lines>217</Lines>
  <Paragraphs>61</Paragraphs>
  <ScaleCrop>false</ScaleCrop>
  <Company/>
  <LinksUpToDate>false</LinksUpToDate>
  <CharactersWithSpaces>30635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4</cp:revision>
  <dcterms:created xsi:type="dcterms:W3CDTF">2023-02-09T08:30:00Z</dcterms:created>
  <dcterms:modified xsi:type="dcterms:W3CDTF">2025-03-28T13:05:00Z</dcterms:modified>
</cp:coreProperties>
</file>